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068" w:rsidRPr="000E5A31" w:rsidRDefault="00CC09B4" w:rsidP="00CC09B4">
      <w:pPr>
        <w:spacing w:after="120"/>
        <w:ind w:left="2552" w:hanging="2552"/>
        <w:rPr>
          <w:b/>
          <w:i/>
          <w:szCs w:val="22"/>
        </w:rPr>
      </w:pPr>
      <w:r w:rsidRPr="000E5A31">
        <w:rPr>
          <w:b/>
          <w:noProof/>
          <w:szCs w:val="22"/>
        </w:rPr>
        <w:t>T</w:t>
      </w:r>
      <w:r w:rsidR="003B7068" w:rsidRPr="000E5A31">
        <w:rPr>
          <w:b/>
          <w:noProof/>
          <w:szCs w:val="22"/>
        </w:rPr>
        <w:t>Z-</w:t>
      </w:r>
      <w:r w:rsidR="00257818" w:rsidRPr="000E5A31">
        <w:rPr>
          <w:b/>
          <w:noProof/>
          <w:szCs w:val="22"/>
        </w:rPr>
        <w:t>M</w:t>
      </w:r>
      <w:r w:rsidRPr="000E5A31">
        <w:rPr>
          <w:b/>
          <w:noProof/>
          <w:szCs w:val="22"/>
        </w:rPr>
        <w:t>aßnahme</w:t>
      </w:r>
      <w:r w:rsidR="003B7068" w:rsidRPr="000E5A31">
        <w:rPr>
          <w:b/>
          <w:noProof/>
          <w:szCs w:val="22"/>
        </w:rPr>
        <w:t>:</w:t>
      </w:r>
      <w:r w:rsidR="003B7068" w:rsidRPr="000E5A31">
        <w:rPr>
          <w:b/>
          <w:szCs w:val="22"/>
        </w:rPr>
        <w:tab/>
      </w:r>
      <w:r w:rsidR="004D2014" w:rsidRPr="000E5A31">
        <w:rPr>
          <w:b/>
          <w:szCs w:val="22"/>
        </w:rPr>
        <w:t xml:space="preserve">Beschäftigungsförderung durch Erneuerbare Energie und Energieeffizienz </w:t>
      </w:r>
      <w:r w:rsidR="003B7068" w:rsidRPr="000E5A31">
        <w:rPr>
          <w:b/>
          <w:szCs w:val="22"/>
        </w:rPr>
        <w:t xml:space="preserve">in </w:t>
      </w:r>
      <w:bookmarkStart w:id="0" w:name="Text41"/>
      <w:r w:rsidR="004D2014" w:rsidRPr="000E5A31">
        <w:rPr>
          <w:b/>
          <w:szCs w:val="22"/>
        </w:rPr>
        <w:t xml:space="preserve">der MENA Region </w:t>
      </w:r>
      <w:bookmarkEnd w:id="0"/>
      <w:r w:rsidR="004D2014" w:rsidRPr="000E5A31">
        <w:rPr>
          <w:b/>
          <w:szCs w:val="22"/>
        </w:rPr>
        <w:t>(RE-ACTIVATE)</w:t>
      </w:r>
    </w:p>
    <w:p w:rsidR="003B7068" w:rsidRPr="000E5A31" w:rsidRDefault="003B7068" w:rsidP="00CC09B4">
      <w:pPr>
        <w:spacing w:after="120"/>
        <w:ind w:left="2552" w:hanging="2552"/>
        <w:rPr>
          <w:b/>
          <w:szCs w:val="22"/>
        </w:rPr>
      </w:pPr>
      <w:r w:rsidRPr="000E5A31">
        <w:rPr>
          <w:b/>
          <w:noProof/>
          <w:szCs w:val="22"/>
        </w:rPr>
        <w:t>P</w:t>
      </w:r>
      <w:r w:rsidR="00B84E01" w:rsidRPr="000E5A31">
        <w:rPr>
          <w:b/>
          <w:noProof/>
          <w:szCs w:val="22"/>
        </w:rPr>
        <w:t>rojektnummer</w:t>
      </w:r>
      <w:r w:rsidR="00C17D09" w:rsidRPr="000E5A31">
        <w:rPr>
          <w:b/>
          <w:szCs w:val="22"/>
        </w:rPr>
        <w:t>:</w:t>
      </w:r>
      <w:r w:rsidR="00D518E4" w:rsidRPr="000E5A31">
        <w:rPr>
          <w:b/>
          <w:szCs w:val="22"/>
        </w:rPr>
        <w:tab/>
      </w:r>
      <w:r w:rsidR="004D2014" w:rsidRPr="000E5A31">
        <w:rPr>
          <w:b/>
          <w:szCs w:val="22"/>
        </w:rPr>
        <w:t>2013.2020.9</w:t>
      </w:r>
    </w:p>
    <w:p w:rsidR="000230BC" w:rsidRPr="000E5A31" w:rsidRDefault="000230BC" w:rsidP="00CC09B4">
      <w:pPr>
        <w:spacing w:before="240" w:after="120"/>
        <w:ind w:left="2552" w:hanging="2552"/>
      </w:pPr>
      <w:r w:rsidRPr="000E5A31">
        <w:t>Nummer des Berichts:</w:t>
      </w:r>
      <w:r w:rsidR="00E0287B" w:rsidRPr="000E5A31">
        <w:tab/>
      </w:r>
      <w:r w:rsidR="004D2014" w:rsidRPr="000E5A31">
        <w:t>1</w:t>
      </w:r>
    </w:p>
    <w:p w:rsidR="000230BC" w:rsidRPr="000E5A31" w:rsidRDefault="000230BC" w:rsidP="00CC09B4">
      <w:pPr>
        <w:spacing w:after="120"/>
        <w:ind w:left="2552" w:hanging="2552"/>
      </w:pPr>
      <w:r w:rsidRPr="000E5A31">
        <w:t>Berichtszeitraum:</w:t>
      </w:r>
      <w:r w:rsidR="00E0287B" w:rsidRPr="000E5A31">
        <w:tab/>
      </w:r>
      <w:r w:rsidR="004D2014" w:rsidRPr="000E5A31">
        <w:t xml:space="preserve">01.03.2014 – </w:t>
      </w:r>
      <w:r w:rsidR="00C83A2F" w:rsidRPr="000E5A31">
        <w:t>01</w:t>
      </w:r>
      <w:r w:rsidR="004D2014" w:rsidRPr="000E5A31">
        <w:t>.0</w:t>
      </w:r>
      <w:r w:rsidR="00C83A2F" w:rsidRPr="000E5A31">
        <w:t>6</w:t>
      </w:r>
      <w:r w:rsidR="004D2014" w:rsidRPr="000E5A31">
        <w:t>.2015</w:t>
      </w:r>
    </w:p>
    <w:p w:rsidR="000230BC" w:rsidRPr="000E5A31" w:rsidRDefault="000230BC" w:rsidP="00E0287B">
      <w:pPr>
        <w:ind w:left="4253" w:hanging="4253"/>
      </w:pPr>
      <w:r w:rsidRPr="000E5A31">
        <w:t>Name des Auftragsverantwortlichen:</w:t>
      </w:r>
      <w:r w:rsidR="00E0287B" w:rsidRPr="000E5A31">
        <w:tab/>
      </w:r>
      <w:r w:rsidR="004D2014" w:rsidRPr="000E5A31">
        <w:t>Steffen Erdle</w:t>
      </w:r>
    </w:p>
    <w:p w:rsidR="000230BC" w:rsidRPr="000E5A31" w:rsidRDefault="000230BC" w:rsidP="00E0287B">
      <w:pPr>
        <w:pStyle w:val="Inhalt"/>
      </w:pPr>
      <w:r w:rsidRPr="000E5A31">
        <w:t>Inhalt</w:t>
      </w:r>
    </w:p>
    <w:p w:rsidR="0012743D" w:rsidRPr="000E5A31" w:rsidRDefault="00C85B6B" w:rsidP="00A60EA1">
      <w:pPr>
        <w:pStyle w:val="Verzeichnis1"/>
        <w:ind w:right="1150"/>
        <w:rPr>
          <w:rFonts w:asciiTheme="minorHAnsi" w:eastAsiaTheme="minorEastAsia" w:hAnsiTheme="minorHAnsi" w:cstheme="minorBidi"/>
          <w:b w:val="0"/>
          <w:szCs w:val="22"/>
        </w:rPr>
      </w:pPr>
      <w:r w:rsidRPr="000E5A31">
        <w:fldChar w:fldCharType="begin"/>
      </w:r>
      <w:r w:rsidR="00B97E94" w:rsidRPr="000E5A31">
        <w:instrText xml:space="preserve"> TOC \o "1-3" \h \z \u </w:instrText>
      </w:r>
      <w:r w:rsidRPr="000E5A31">
        <w:fldChar w:fldCharType="separate"/>
      </w:r>
      <w:hyperlink w:anchor="_Toc396989029" w:history="1">
        <w:r w:rsidR="0012743D" w:rsidRPr="000E5A31">
          <w:rPr>
            <w:rStyle w:val="Hyperlink"/>
          </w:rPr>
          <w:t>A.1.</w:t>
        </w:r>
        <w:r w:rsidR="0012743D" w:rsidRPr="000E5A31">
          <w:rPr>
            <w:rFonts w:asciiTheme="minorHAnsi" w:eastAsiaTheme="minorEastAsia" w:hAnsiTheme="minorHAnsi" w:cstheme="minorBidi"/>
            <w:b w:val="0"/>
            <w:szCs w:val="22"/>
          </w:rPr>
          <w:tab/>
        </w:r>
        <w:r w:rsidR="0012743D" w:rsidRPr="000E5A31">
          <w:rPr>
            <w:rStyle w:val="Hyperlink"/>
          </w:rPr>
          <w:t>Kurzbeschreibung</w:t>
        </w:r>
        <w:r w:rsidR="0012743D" w:rsidRPr="000E5A31">
          <w:rPr>
            <w:webHidden/>
          </w:rPr>
          <w:tab/>
        </w:r>
        <w:r w:rsidRPr="000E5A31">
          <w:rPr>
            <w:webHidden/>
          </w:rPr>
          <w:fldChar w:fldCharType="begin"/>
        </w:r>
        <w:r w:rsidR="0012743D" w:rsidRPr="000E5A31">
          <w:rPr>
            <w:webHidden/>
          </w:rPr>
          <w:instrText xml:space="preserve"> PAGEREF _Toc396989029 \h </w:instrText>
        </w:r>
        <w:r w:rsidRPr="000E5A31">
          <w:rPr>
            <w:webHidden/>
          </w:rPr>
        </w:r>
        <w:r w:rsidRPr="000E5A31">
          <w:rPr>
            <w:webHidden/>
          </w:rPr>
          <w:fldChar w:fldCharType="separate"/>
        </w:r>
        <w:r w:rsidR="00467A69" w:rsidRPr="000E5A31">
          <w:rPr>
            <w:webHidden/>
          </w:rPr>
          <w:t>3</w:t>
        </w:r>
        <w:r w:rsidRPr="000E5A31">
          <w:rPr>
            <w:webHidden/>
          </w:rPr>
          <w:fldChar w:fldCharType="end"/>
        </w:r>
      </w:hyperlink>
    </w:p>
    <w:p w:rsidR="0012743D" w:rsidRPr="000E5A31" w:rsidRDefault="00FC0BB3" w:rsidP="00A60EA1">
      <w:pPr>
        <w:pStyle w:val="Verzeichnis1"/>
        <w:ind w:right="1150"/>
        <w:rPr>
          <w:rFonts w:asciiTheme="minorHAnsi" w:eastAsiaTheme="minorEastAsia" w:hAnsiTheme="minorHAnsi" w:cstheme="minorBidi"/>
          <w:b w:val="0"/>
          <w:szCs w:val="22"/>
        </w:rPr>
      </w:pPr>
      <w:hyperlink w:anchor="_Toc396989030" w:history="1">
        <w:r w:rsidR="0012743D" w:rsidRPr="000E5A31">
          <w:rPr>
            <w:rStyle w:val="Hyperlink"/>
          </w:rPr>
          <w:t>A.2.</w:t>
        </w:r>
        <w:r w:rsidR="0012743D" w:rsidRPr="000E5A31">
          <w:rPr>
            <w:rFonts w:asciiTheme="minorHAnsi" w:eastAsiaTheme="minorEastAsia" w:hAnsiTheme="minorHAnsi" w:cstheme="minorBidi"/>
            <w:b w:val="0"/>
            <w:szCs w:val="22"/>
          </w:rPr>
          <w:tab/>
        </w:r>
        <w:r w:rsidR="0012743D" w:rsidRPr="000E5A31">
          <w:rPr>
            <w:rStyle w:val="Hyperlink"/>
          </w:rPr>
          <w:t>Entwicklungen im Schwerpunkt</w:t>
        </w:r>
        <w:r w:rsidR="0012743D" w:rsidRPr="000E5A31">
          <w:rPr>
            <w:webHidden/>
          </w:rPr>
          <w:tab/>
        </w:r>
        <w:r w:rsidR="00C85B6B" w:rsidRPr="000E5A31">
          <w:rPr>
            <w:webHidden/>
          </w:rPr>
          <w:fldChar w:fldCharType="begin"/>
        </w:r>
        <w:r w:rsidR="0012743D" w:rsidRPr="000E5A31">
          <w:rPr>
            <w:webHidden/>
          </w:rPr>
          <w:instrText xml:space="preserve"> PAGEREF _Toc396989030 \h </w:instrText>
        </w:r>
        <w:r w:rsidR="00C85B6B" w:rsidRPr="000E5A31">
          <w:rPr>
            <w:webHidden/>
          </w:rPr>
        </w:r>
        <w:r w:rsidR="00C85B6B" w:rsidRPr="000E5A31">
          <w:rPr>
            <w:webHidden/>
          </w:rPr>
          <w:fldChar w:fldCharType="separate"/>
        </w:r>
        <w:r w:rsidR="00467A69" w:rsidRPr="000E5A31">
          <w:rPr>
            <w:webHidden/>
          </w:rPr>
          <w:t>4</w:t>
        </w:r>
        <w:r w:rsidR="00C85B6B" w:rsidRPr="000E5A31">
          <w:rPr>
            <w:webHidden/>
          </w:rPr>
          <w:fldChar w:fldCharType="end"/>
        </w:r>
      </w:hyperlink>
    </w:p>
    <w:p w:rsidR="0012743D" w:rsidRPr="000E5A31" w:rsidRDefault="00FC0BB3">
      <w:pPr>
        <w:pStyle w:val="Verzeichnis2"/>
        <w:rPr>
          <w:rFonts w:asciiTheme="minorHAnsi" w:eastAsiaTheme="minorEastAsia" w:hAnsiTheme="minorHAnsi" w:cstheme="minorBidi"/>
          <w:szCs w:val="22"/>
        </w:rPr>
      </w:pPr>
      <w:hyperlink w:anchor="_Toc396989031" w:history="1">
        <w:r w:rsidR="0012743D" w:rsidRPr="000E5A31">
          <w:rPr>
            <w:rStyle w:val="Hyperlink"/>
          </w:rPr>
          <w:t>A.2.1</w:t>
        </w:r>
        <w:r w:rsidR="0012743D" w:rsidRPr="000E5A31">
          <w:rPr>
            <w:rFonts w:asciiTheme="minorHAnsi" w:eastAsiaTheme="minorEastAsia" w:hAnsiTheme="minorHAnsi" w:cstheme="minorBidi"/>
            <w:szCs w:val="22"/>
          </w:rPr>
          <w:tab/>
        </w:r>
        <w:r w:rsidR="0012743D" w:rsidRPr="000E5A31">
          <w:rPr>
            <w:rStyle w:val="Hyperlink"/>
          </w:rPr>
          <w:t>Entwicklungen bei Zielen und Strategien des Kooperationslandes</w:t>
        </w:r>
        <w:r w:rsidR="0012743D" w:rsidRPr="000E5A31">
          <w:rPr>
            <w:webHidden/>
          </w:rPr>
          <w:tab/>
        </w:r>
        <w:r w:rsidR="00C85B6B" w:rsidRPr="000E5A31">
          <w:rPr>
            <w:webHidden/>
          </w:rPr>
          <w:fldChar w:fldCharType="begin"/>
        </w:r>
        <w:r w:rsidR="0012743D" w:rsidRPr="000E5A31">
          <w:rPr>
            <w:webHidden/>
          </w:rPr>
          <w:instrText xml:space="preserve"> PAGEREF _Toc396989031 \h </w:instrText>
        </w:r>
        <w:r w:rsidR="00C85B6B" w:rsidRPr="000E5A31">
          <w:rPr>
            <w:webHidden/>
          </w:rPr>
        </w:r>
        <w:r w:rsidR="00C85B6B" w:rsidRPr="000E5A31">
          <w:rPr>
            <w:webHidden/>
          </w:rPr>
          <w:fldChar w:fldCharType="separate"/>
        </w:r>
        <w:r w:rsidR="00467A69" w:rsidRPr="000E5A31">
          <w:rPr>
            <w:webHidden/>
          </w:rPr>
          <w:t>4</w:t>
        </w:r>
        <w:r w:rsidR="00C85B6B" w:rsidRPr="000E5A31">
          <w:rPr>
            <w:webHidden/>
          </w:rPr>
          <w:fldChar w:fldCharType="end"/>
        </w:r>
      </w:hyperlink>
    </w:p>
    <w:p w:rsidR="0012743D" w:rsidRPr="000E5A31" w:rsidRDefault="00FC0BB3">
      <w:pPr>
        <w:pStyle w:val="Verzeichnis2"/>
        <w:rPr>
          <w:rFonts w:asciiTheme="minorHAnsi" w:eastAsiaTheme="minorEastAsia" w:hAnsiTheme="minorHAnsi" w:cstheme="minorBidi"/>
          <w:szCs w:val="22"/>
        </w:rPr>
      </w:pPr>
      <w:hyperlink w:anchor="_Toc396989032" w:history="1">
        <w:r w:rsidR="0012743D" w:rsidRPr="000E5A31">
          <w:rPr>
            <w:rStyle w:val="Hyperlink"/>
          </w:rPr>
          <w:t>A.2.2</w:t>
        </w:r>
        <w:r w:rsidR="0012743D" w:rsidRPr="000E5A31">
          <w:rPr>
            <w:rFonts w:asciiTheme="minorHAnsi" w:eastAsiaTheme="minorEastAsia" w:hAnsiTheme="minorHAnsi" w:cstheme="minorBidi"/>
            <w:szCs w:val="22"/>
          </w:rPr>
          <w:tab/>
        </w:r>
        <w:r w:rsidR="0012743D" w:rsidRPr="000E5A31">
          <w:rPr>
            <w:rStyle w:val="Hyperlink"/>
          </w:rPr>
          <w:t>Entwicklungen bei wichtigen Akteuren, Entscheidungsträgern und Trägerinstitutionen des Kooperationslandes</w:t>
        </w:r>
        <w:r w:rsidR="0012743D" w:rsidRPr="000E5A31">
          <w:rPr>
            <w:webHidden/>
          </w:rPr>
          <w:tab/>
        </w:r>
        <w:r w:rsidR="00C85B6B" w:rsidRPr="000E5A31">
          <w:rPr>
            <w:webHidden/>
          </w:rPr>
          <w:fldChar w:fldCharType="begin"/>
        </w:r>
        <w:r w:rsidR="0012743D" w:rsidRPr="000E5A31">
          <w:rPr>
            <w:webHidden/>
          </w:rPr>
          <w:instrText xml:space="preserve"> PAGEREF _Toc396989032 \h </w:instrText>
        </w:r>
        <w:r w:rsidR="00C85B6B" w:rsidRPr="000E5A31">
          <w:rPr>
            <w:webHidden/>
          </w:rPr>
        </w:r>
        <w:r w:rsidR="00C85B6B" w:rsidRPr="000E5A31">
          <w:rPr>
            <w:webHidden/>
          </w:rPr>
          <w:fldChar w:fldCharType="separate"/>
        </w:r>
        <w:r w:rsidR="00467A69" w:rsidRPr="000E5A31">
          <w:rPr>
            <w:webHidden/>
          </w:rPr>
          <w:t>8</w:t>
        </w:r>
        <w:r w:rsidR="00C85B6B" w:rsidRPr="000E5A31">
          <w:rPr>
            <w:webHidden/>
          </w:rPr>
          <w:fldChar w:fldCharType="end"/>
        </w:r>
      </w:hyperlink>
    </w:p>
    <w:p w:rsidR="0012743D" w:rsidRPr="000E5A31" w:rsidRDefault="00FC0BB3">
      <w:pPr>
        <w:pStyle w:val="Verzeichnis2"/>
        <w:rPr>
          <w:rFonts w:asciiTheme="minorHAnsi" w:eastAsiaTheme="minorEastAsia" w:hAnsiTheme="minorHAnsi" w:cstheme="minorBidi"/>
          <w:szCs w:val="22"/>
        </w:rPr>
      </w:pPr>
      <w:hyperlink w:anchor="_Toc396989033" w:history="1">
        <w:r w:rsidR="0012743D" w:rsidRPr="000E5A31">
          <w:rPr>
            <w:rStyle w:val="Hyperlink"/>
          </w:rPr>
          <w:t>A.2.3</w:t>
        </w:r>
        <w:r w:rsidR="0012743D" w:rsidRPr="000E5A31">
          <w:rPr>
            <w:rFonts w:asciiTheme="minorHAnsi" w:eastAsiaTheme="minorEastAsia" w:hAnsiTheme="minorHAnsi" w:cstheme="minorBidi"/>
            <w:szCs w:val="22"/>
          </w:rPr>
          <w:tab/>
        </w:r>
        <w:r w:rsidR="0012743D" w:rsidRPr="000E5A31">
          <w:rPr>
            <w:rStyle w:val="Hyperlink"/>
          </w:rPr>
          <w:t>Entwicklungen im Engagement anderer Geber und in der Abstimmung der Geberbeiträge</w:t>
        </w:r>
        <w:r w:rsidR="0012743D" w:rsidRPr="000E5A31">
          <w:rPr>
            <w:webHidden/>
          </w:rPr>
          <w:tab/>
        </w:r>
        <w:r w:rsidR="00C85B6B" w:rsidRPr="000E5A31">
          <w:rPr>
            <w:webHidden/>
          </w:rPr>
          <w:fldChar w:fldCharType="begin"/>
        </w:r>
        <w:r w:rsidR="0012743D" w:rsidRPr="000E5A31">
          <w:rPr>
            <w:webHidden/>
          </w:rPr>
          <w:instrText xml:space="preserve"> PAGEREF _Toc396989033 \h </w:instrText>
        </w:r>
        <w:r w:rsidR="00C85B6B" w:rsidRPr="000E5A31">
          <w:rPr>
            <w:webHidden/>
          </w:rPr>
        </w:r>
        <w:r w:rsidR="00C85B6B" w:rsidRPr="000E5A31">
          <w:rPr>
            <w:webHidden/>
          </w:rPr>
          <w:fldChar w:fldCharType="separate"/>
        </w:r>
        <w:r w:rsidR="00467A69" w:rsidRPr="000E5A31">
          <w:rPr>
            <w:webHidden/>
          </w:rPr>
          <w:t>9</w:t>
        </w:r>
        <w:r w:rsidR="00C85B6B" w:rsidRPr="000E5A31">
          <w:rPr>
            <w:webHidden/>
          </w:rPr>
          <w:fldChar w:fldCharType="end"/>
        </w:r>
      </w:hyperlink>
    </w:p>
    <w:p w:rsidR="0012743D" w:rsidRPr="000E5A31" w:rsidRDefault="00FC0BB3">
      <w:pPr>
        <w:pStyle w:val="Verzeichnis1"/>
        <w:rPr>
          <w:rFonts w:asciiTheme="minorHAnsi" w:eastAsiaTheme="minorEastAsia" w:hAnsiTheme="minorHAnsi" w:cstheme="minorBidi"/>
          <w:b w:val="0"/>
          <w:szCs w:val="22"/>
        </w:rPr>
      </w:pPr>
      <w:hyperlink w:anchor="_Toc396989034" w:history="1">
        <w:r w:rsidR="0012743D" w:rsidRPr="000E5A31">
          <w:rPr>
            <w:rStyle w:val="Hyperlink"/>
          </w:rPr>
          <w:t>A.3.</w:t>
        </w:r>
        <w:r w:rsidR="0012743D" w:rsidRPr="000E5A31">
          <w:rPr>
            <w:rFonts w:asciiTheme="minorHAnsi" w:eastAsiaTheme="minorEastAsia" w:hAnsiTheme="minorHAnsi" w:cstheme="minorBidi"/>
            <w:b w:val="0"/>
            <w:szCs w:val="22"/>
          </w:rPr>
          <w:tab/>
        </w:r>
        <w:r w:rsidR="0012743D" w:rsidRPr="000E5A31">
          <w:rPr>
            <w:rStyle w:val="Hyperlink"/>
          </w:rPr>
          <w:t>Entwicklungen im Ansatz des deutschen EZ-Engagements</w:t>
        </w:r>
        <w:r w:rsidR="0012743D" w:rsidRPr="000E5A31">
          <w:rPr>
            <w:webHidden/>
          </w:rPr>
          <w:tab/>
        </w:r>
        <w:r w:rsidR="00C85B6B" w:rsidRPr="000E5A31">
          <w:rPr>
            <w:webHidden/>
          </w:rPr>
          <w:fldChar w:fldCharType="begin"/>
        </w:r>
        <w:r w:rsidR="0012743D" w:rsidRPr="000E5A31">
          <w:rPr>
            <w:webHidden/>
          </w:rPr>
          <w:instrText xml:space="preserve"> PAGEREF _Toc396989034 \h </w:instrText>
        </w:r>
        <w:r w:rsidR="00C85B6B" w:rsidRPr="000E5A31">
          <w:rPr>
            <w:webHidden/>
          </w:rPr>
        </w:r>
        <w:r w:rsidR="00C85B6B" w:rsidRPr="000E5A31">
          <w:rPr>
            <w:webHidden/>
          </w:rPr>
          <w:fldChar w:fldCharType="separate"/>
        </w:r>
        <w:r w:rsidR="00467A69" w:rsidRPr="000E5A31">
          <w:rPr>
            <w:webHidden/>
          </w:rPr>
          <w:t>10</w:t>
        </w:r>
        <w:r w:rsidR="00C85B6B" w:rsidRPr="000E5A31">
          <w:rPr>
            <w:webHidden/>
          </w:rPr>
          <w:fldChar w:fldCharType="end"/>
        </w:r>
      </w:hyperlink>
    </w:p>
    <w:p w:rsidR="0012743D" w:rsidRPr="000E5A31" w:rsidRDefault="00FC0BB3">
      <w:pPr>
        <w:pStyle w:val="Verzeichnis1"/>
        <w:rPr>
          <w:rFonts w:asciiTheme="minorHAnsi" w:eastAsiaTheme="minorEastAsia" w:hAnsiTheme="minorHAnsi" w:cstheme="minorBidi"/>
          <w:b w:val="0"/>
          <w:szCs w:val="22"/>
        </w:rPr>
      </w:pPr>
      <w:hyperlink w:anchor="_Toc396989035" w:history="1">
        <w:r w:rsidR="0012743D" w:rsidRPr="000E5A31">
          <w:rPr>
            <w:rStyle w:val="Hyperlink"/>
          </w:rPr>
          <w:t>A.4.</w:t>
        </w:r>
        <w:r w:rsidR="0012743D" w:rsidRPr="000E5A31">
          <w:rPr>
            <w:rFonts w:asciiTheme="minorHAnsi" w:eastAsiaTheme="minorEastAsia" w:hAnsiTheme="minorHAnsi" w:cstheme="minorBidi"/>
            <w:b w:val="0"/>
            <w:szCs w:val="22"/>
          </w:rPr>
          <w:tab/>
        </w:r>
        <w:r w:rsidR="0012743D" w:rsidRPr="000E5A31">
          <w:rPr>
            <w:rStyle w:val="Hyperlink"/>
          </w:rPr>
          <w:t>Vorschläge für vom BMZ zu ergreifende Maßnahmen</w:t>
        </w:r>
        <w:r w:rsidR="0012743D" w:rsidRPr="000E5A31">
          <w:rPr>
            <w:webHidden/>
          </w:rPr>
          <w:tab/>
        </w:r>
        <w:r w:rsidR="00C85B6B" w:rsidRPr="000E5A31">
          <w:rPr>
            <w:webHidden/>
          </w:rPr>
          <w:fldChar w:fldCharType="begin"/>
        </w:r>
        <w:r w:rsidR="0012743D" w:rsidRPr="000E5A31">
          <w:rPr>
            <w:webHidden/>
          </w:rPr>
          <w:instrText xml:space="preserve"> PAGEREF _Toc396989035 \h </w:instrText>
        </w:r>
        <w:r w:rsidR="00C85B6B" w:rsidRPr="000E5A31">
          <w:rPr>
            <w:webHidden/>
          </w:rPr>
        </w:r>
        <w:r w:rsidR="00C85B6B" w:rsidRPr="000E5A31">
          <w:rPr>
            <w:webHidden/>
          </w:rPr>
          <w:fldChar w:fldCharType="separate"/>
        </w:r>
        <w:r w:rsidR="00467A69" w:rsidRPr="000E5A31">
          <w:rPr>
            <w:webHidden/>
          </w:rPr>
          <w:t>10</w:t>
        </w:r>
        <w:r w:rsidR="00C85B6B" w:rsidRPr="000E5A31">
          <w:rPr>
            <w:webHidden/>
          </w:rPr>
          <w:fldChar w:fldCharType="end"/>
        </w:r>
      </w:hyperlink>
    </w:p>
    <w:p w:rsidR="0012743D" w:rsidRPr="000E5A31" w:rsidRDefault="00FC0BB3">
      <w:pPr>
        <w:pStyle w:val="Verzeichnis2"/>
        <w:rPr>
          <w:rFonts w:asciiTheme="minorHAnsi" w:eastAsiaTheme="minorEastAsia" w:hAnsiTheme="minorHAnsi" w:cstheme="minorBidi"/>
          <w:szCs w:val="22"/>
        </w:rPr>
      </w:pPr>
      <w:hyperlink w:anchor="_Toc396989036" w:history="1">
        <w:r w:rsidR="0012743D" w:rsidRPr="000E5A31">
          <w:rPr>
            <w:rStyle w:val="Hyperlink"/>
          </w:rPr>
          <w:t>A.4.1</w:t>
        </w:r>
        <w:r w:rsidR="0012743D" w:rsidRPr="000E5A31">
          <w:rPr>
            <w:rFonts w:asciiTheme="minorHAnsi" w:eastAsiaTheme="minorEastAsia" w:hAnsiTheme="minorHAnsi" w:cstheme="minorBidi"/>
            <w:szCs w:val="22"/>
          </w:rPr>
          <w:tab/>
        </w:r>
        <w:r w:rsidR="0012743D" w:rsidRPr="000E5A31">
          <w:rPr>
            <w:rStyle w:val="Hyperlink"/>
          </w:rPr>
          <w:t>Maßnahmen im Rahmen des Politik- und Schwerpunktdialogs</w:t>
        </w:r>
        <w:r w:rsidR="0012743D" w:rsidRPr="000E5A31">
          <w:rPr>
            <w:webHidden/>
          </w:rPr>
          <w:tab/>
        </w:r>
        <w:r w:rsidR="00C85B6B" w:rsidRPr="000E5A31">
          <w:rPr>
            <w:webHidden/>
          </w:rPr>
          <w:fldChar w:fldCharType="begin"/>
        </w:r>
        <w:r w:rsidR="0012743D" w:rsidRPr="000E5A31">
          <w:rPr>
            <w:webHidden/>
          </w:rPr>
          <w:instrText xml:space="preserve"> PAGEREF _Toc396989036 \h </w:instrText>
        </w:r>
        <w:r w:rsidR="00C85B6B" w:rsidRPr="000E5A31">
          <w:rPr>
            <w:webHidden/>
          </w:rPr>
        </w:r>
        <w:r w:rsidR="00C85B6B" w:rsidRPr="000E5A31">
          <w:rPr>
            <w:webHidden/>
          </w:rPr>
          <w:fldChar w:fldCharType="separate"/>
        </w:r>
        <w:r w:rsidR="00467A69" w:rsidRPr="000E5A31">
          <w:rPr>
            <w:webHidden/>
          </w:rPr>
          <w:t>12</w:t>
        </w:r>
        <w:r w:rsidR="00C85B6B" w:rsidRPr="000E5A31">
          <w:rPr>
            <w:webHidden/>
          </w:rPr>
          <w:fldChar w:fldCharType="end"/>
        </w:r>
      </w:hyperlink>
    </w:p>
    <w:p w:rsidR="0012743D" w:rsidRPr="000E5A31" w:rsidRDefault="00FC0BB3">
      <w:pPr>
        <w:pStyle w:val="Verzeichnis2"/>
        <w:rPr>
          <w:rFonts w:asciiTheme="minorHAnsi" w:eastAsiaTheme="minorEastAsia" w:hAnsiTheme="minorHAnsi" w:cstheme="minorBidi"/>
          <w:szCs w:val="22"/>
        </w:rPr>
      </w:pPr>
      <w:hyperlink w:anchor="_Toc396989037" w:history="1">
        <w:r w:rsidR="0012743D" w:rsidRPr="000E5A31">
          <w:rPr>
            <w:rStyle w:val="Hyperlink"/>
          </w:rPr>
          <w:t>A.4.2</w:t>
        </w:r>
        <w:r w:rsidR="0012743D" w:rsidRPr="000E5A31">
          <w:rPr>
            <w:rFonts w:asciiTheme="minorHAnsi" w:eastAsiaTheme="minorEastAsia" w:hAnsiTheme="minorHAnsi" w:cstheme="minorBidi"/>
            <w:szCs w:val="22"/>
          </w:rPr>
          <w:tab/>
        </w:r>
        <w:r w:rsidR="0012743D" w:rsidRPr="000E5A31">
          <w:rPr>
            <w:rStyle w:val="Hyperlink"/>
          </w:rPr>
          <w:t>Änderungen in der Aufstellung der deutschen EZ</w:t>
        </w:r>
        <w:r w:rsidR="0012743D" w:rsidRPr="000E5A31">
          <w:rPr>
            <w:webHidden/>
          </w:rPr>
          <w:tab/>
        </w:r>
        <w:r w:rsidR="00C85B6B" w:rsidRPr="000E5A31">
          <w:rPr>
            <w:webHidden/>
          </w:rPr>
          <w:fldChar w:fldCharType="begin"/>
        </w:r>
        <w:r w:rsidR="0012743D" w:rsidRPr="000E5A31">
          <w:rPr>
            <w:webHidden/>
          </w:rPr>
          <w:instrText xml:space="preserve"> PAGEREF _Toc396989037 \h </w:instrText>
        </w:r>
        <w:r w:rsidR="00C85B6B" w:rsidRPr="000E5A31">
          <w:rPr>
            <w:webHidden/>
          </w:rPr>
        </w:r>
        <w:r w:rsidR="00C85B6B" w:rsidRPr="000E5A31">
          <w:rPr>
            <w:webHidden/>
          </w:rPr>
          <w:fldChar w:fldCharType="separate"/>
        </w:r>
        <w:r w:rsidR="00467A69" w:rsidRPr="000E5A31">
          <w:rPr>
            <w:webHidden/>
          </w:rPr>
          <w:t>12</w:t>
        </w:r>
        <w:r w:rsidR="00C85B6B" w:rsidRPr="000E5A31">
          <w:rPr>
            <w:webHidden/>
          </w:rPr>
          <w:fldChar w:fldCharType="end"/>
        </w:r>
      </w:hyperlink>
    </w:p>
    <w:p w:rsidR="0012743D" w:rsidRPr="000E5A31" w:rsidRDefault="00FC0BB3">
      <w:pPr>
        <w:pStyle w:val="Verzeichnis1"/>
        <w:rPr>
          <w:rFonts w:asciiTheme="minorHAnsi" w:eastAsiaTheme="minorEastAsia" w:hAnsiTheme="minorHAnsi" w:cstheme="minorBidi"/>
          <w:b w:val="0"/>
          <w:szCs w:val="22"/>
        </w:rPr>
      </w:pPr>
      <w:hyperlink w:anchor="_Toc396989038" w:history="1">
        <w:r w:rsidR="0012743D" w:rsidRPr="000E5A31">
          <w:rPr>
            <w:rStyle w:val="Hyperlink"/>
          </w:rPr>
          <w:t>B.1.</w:t>
        </w:r>
        <w:r w:rsidR="0012743D" w:rsidRPr="000E5A31">
          <w:rPr>
            <w:rFonts w:asciiTheme="minorHAnsi" w:eastAsiaTheme="minorEastAsia" w:hAnsiTheme="minorHAnsi" w:cstheme="minorBidi"/>
            <w:b w:val="0"/>
            <w:szCs w:val="22"/>
          </w:rPr>
          <w:tab/>
        </w:r>
        <w:r w:rsidR="0012743D" w:rsidRPr="000E5A31">
          <w:rPr>
            <w:rStyle w:val="Hyperlink"/>
          </w:rPr>
          <w:t>Kurzbeschreibung</w:t>
        </w:r>
        <w:r w:rsidR="0012743D" w:rsidRPr="000E5A31">
          <w:rPr>
            <w:webHidden/>
          </w:rPr>
          <w:tab/>
        </w:r>
        <w:r w:rsidR="00C85B6B" w:rsidRPr="000E5A31">
          <w:rPr>
            <w:webHidden/>
          </w:rPr>
          <w:fldChar w:fldCharType="begin"/>
        </w:r>
        <w:r w:rsidR="0012743D" w:rsidRPr="000E5A31">
          <w:rPr>
            <w:webHidden/>
          </w:rPr>
          <w:instrText xml:space="preserve"> PAGEREF _Toc396989038 \h </w:instrText>
        </w:r>
        <w:r w:rsidR="00C85B6B" w:rsidRPr="000E5A31">
          <w:rPr>
            <w:webHidden/>
          </w:rPr>
        </w:r>
        <w:r w:rsidR="00C85B6B" w:rsidRPr="000E5A31">
          <w:rPr>
            <w:webHidden/>
          </w:rPr>
          <w:fldChar w:fldCharType="separate"/>
        </w:r>
        <w:r w:rsidR="00467A69" w:rsidRPr="000E5A31">
          <w:rPr>
            <w:webHidden/>
          </w:rPr>
          <w:t>13</w:t>
        </w:r>
        <w:r w:rsidR="00C85B6B" w:rsidRPr="000E5A31">
          <w:rPr>
            <w:webHidden/>
          </w:rPr>
          <w:fldChar w:fldCharType="end"/>
        </w:r>
      </w:hyperlink>
    </w:p>
    <w:p w:rsidR="0012743D" w:rsidRPr="000E5A31" w:rsidRDefault="00FC0BB3">
      <w:pPr>
        <w:pStyle w:val="Verzeichnis1"/>
        <w:rPr>
          <w:rFonts w:asciiTheme="minorHAnsi" w:eastAsiaTheme="minorEastAsia" w:hAnsiTheme="minorHAnsi" w:cstheme="minorBidi"/>
          <w:b w:val="0"/>
          <w:szCs w:val="22"/>
        </w:rPr>
      </w:pPr>
      <w:hyperlink w:anchor="_Toc396989039" w:history="1">
        <w:r w:rsidR="0012743D" w:rsidRPr="000E5A31">
          <w:rPr>
            <w:rStyle w:val="Hyperlink"/>
          </w:rPr>
          <w:t>B.2.</w:t>
        </w:r>
        <w:r w:rsidR="0012743D" w:rsidRPr="000E5A31">
          <w:rPr>
            <w:rFonts w:asciiTheme="minorHAnsi" w:eastAsiaTheme="minorEastAsia" w:hAnsiTheme="minorHAnsi" w:cstheme="minorBidi"/>
            <w:b w:val="0"/>
            <w:szCs w:val="22"/>
          </w:rPr>
          <w:tab/>
        </w:r>
        <w:r w:rsidR="0012743D" w:rsidRPr="000E5A31">
          <w:rPr>
            <w:rStyle w:val="Hyperlink"/>
          </w:rPr>
          <w:t>Konkrete Entwicklungen/Änderungen bei der TZ-Maßnahme</w:t>
        </w:r>
        <w:r w:rsidR="0012743D" w:rsidRPr="000E5A31">
          <w:rPr>
            <w:webHidden/>
          </w:rPr>
          <w:tab/>
        </w:r>
        <w:r w:rsidR="00C85B6B" w:rsidRPr="000E5A31">
          <w:rPr>
            <w:webHidden/>
          </w:rPr>
          <w:fldChar w:fldCharType="begin"/>
        </w:r>
        <w:r w:rsidR="0012743D" w:rsidRPr="000E5A31">
          <w:rPr>
            <w:webHidden/>
          </w:rPr>
          <w:instrText xml:space="preserve"> PAGEREF _Toc396989039 \h </w:instrText>
        </w:r>
        <w:r w:rsidR="00C85B6B" w:rsidRPr="000E5A31">
          <w:rPr>
            <w:webHidden/>
          </w:rPr>
        </w:r>
        <w:r w:rsidR="00C85B6B" w:rsidRPr="000E5A31">
          <w:rPr>
            <w:webHidden/>
          </w:rPr>
          <w:fldChar w:fldCharType="separate"/>
        </w:r>
        <w:r w:rsidR="00467A69" w:rsidRPr="000E5A31">
          <w:rPr>
            <w:webHidden/>
          </w:rPr>
          <w:t>13</w:t>
        </w:r>
        <w:r w:rsidR="00C85B6B" w:rsidRPr="000E5A31">
          <w:rPr>
            <w:webHidden/>
          </w:rPr>
          <w:fldChar w:fldCharType="end"/>
        </w:r>
      </w:hyperlink>
    </w:p>
    <w:p w:rsidR="0012743D" w:rsidRPr="000E5A31" w:rsidRDefault="00FC0BB3">
      <w:pPr>
        <w:pStyle w:val="Verzeichnis2"/>
        <w:rPr>
          <w:rFonts w:asciiTheme="minorHAnsi" w:eastAsiaTheme="minorEastAsia" w:hAnsiTheme="minorHAnsi" w:cstheme="minorBidi"/>
          <w:szCs w:val="22"/>
        </w:rPr>
      </w:pPr>
      <w:hyperlink w:anchor="_Toc396989040" w:history="1">
        <w:r w:rsidR="0012743D" w:rsidRPr="000E5A31">
          <w:rPr>
            <w:rStyle w:val="Hyperlink"/>
          </w:rPr>
          <w:t>B.2.1</w:t>
        </w:r>
        <w:r w:rsidR="0012743D" w:rsidRPr="000E5A31">
          <w:rPr>
            <w:rFonts w:asciiTheme="minorHAnsi" w:eastAsiaTheme="minorEastAsia" w:hAnsiTheme="minorHAnsi" w:cstheme="minorBidi"/>
            <w:szCs w:val="22"/>
          </w:rPr>
          <w:tab/>
        </w:r>
        <w:r w:rsidR="0012743D" w:rsidRPr="000E5A31">
          <w:rPr>
            <w:rStyle w:val="Hyperlink"/>
          </w:rPr>
          <w:t>Gestaltung der TZ-Maßnahme, Partnerleistung, Gesamtkosten, Finanzierung, Zeitplan</w:t>
        </w:r>
        <w:r w:rsidR="0012743D" w:rsidRPr="000E5A31">
          <w:rPr>
            <w:webHidden/>
          </w:rPr>
          <w:tab/>
        </w:r>
        <w:r w:rsidR="00C85B6B" w:rsidRPr="000E5A31">
          <w:rPr>
            <w:webHidden/>
          </w:rPr>
          <w:fldChar w:fldCharType="begin"/>
        </w:r>
        <w:r w:rsidR="0012743D" w:rsidRPr="000E5A31">
          <w:rPr>
            <w:webHidden/>
          </w:rPr>
          <w:instrText xml:space="preserve"> PAGEREF _Toc396989040 \h </w:instrText>
        </w:r>
        <w:r w:rsidR="00C85B6B" w:rsidRPr="000E5A31">
          <w:rPr>
            <w:webHidden/>
          </w:rPr>
        </w:r>
        <w:r w:rsidR="00C85B6B" w:rsidRPr="000E5A31">
          <w:rPr>
            <w:webHidden/>
          </w:rPr>
          <w:fldChar w:fldCharType="separate"/>
        </w:r>
        <w:r w:rsidR="00467A69" w:rsidRPr="000E5A31">
          <w:rPr>
            <w:webHidden/>
          </w:rPr>
          <w:t>13</w:t>
        </w:r>
        <w:r w:rsidR="00C85B6B" w:rsidRPr="000E5A31">
          <w:rPr>
            <w:webHidden/>
          </w:rPr>
          <w:fldChar w:fldCharType="end"/>
        </w:r>
      </w:hyperlink>
    </w:p>
    <w:p w:rsidR="0012743D" w:rsidRPr="000E5A31" w:rsidRDefault="00FC0BB3">
      <w:pPr>
        <w:pStyle w:val="Verzeichnis2"/>
        <w:rPr>
          <w:rFonts w:asciiTheme="minorHAnsi" w:eastAsiaTheme="minorEastAsia" w:hAnsiTheme="minorHAnsi" w:cstheme="minorBidi"/>
          <w:szCs w:val="22"/>
        </w:rPr>
      </w:pPr>
      <w:hyperlink w:anchor="_Toc396989041" w:history="1">
        <w:r w:rsidR="0012743D" w:rsidRPr="000E5A31">
          <w:rPr>
            <w:rStyle w:val="Hyperlink"/>
          </w:rPr>
          <w:t>B.2.2</w:t>
        </w:r>
        <w:r w:rsidR="0012743D" w:rsidRPr="000E5A31">
          <w:rPr>
            <w:rFonts w:asciiTheme="minorHAnsi" w:eastAsiaTheme="minorEastAsia" w:hAnsiTheme="minorHAnsi" w:cstheme="minorBidi"/>
            <w:szCs w:val="22"/>
          </w:rPr>
          <w:tab/>
        </w:r>
        <w:r w:rsidR="0012743D" w:rsidRPr="000E5A31">
          <w:rPr>
            <w:rStyle w:val="Hyperlink"/>
          </w:rPr>
          <w:t>Zielgruppen, Träger- und Partnerstruktur</w:t>
        </w:r>
        <w:r w:rsidR="0012743D" w:rsidRPr="000E5A31">
          <w:rPr>
            <w:webHidden/>
          </w:rPr>
          <w:tab/>
        </w:r>
        <w:r w:rsidR="00C85B6B" w:rsidRPr="000E5A31">
          <w:rPr>
            <w:webHidden/>
          </w:rPr>
          <w:fldChar w:fldCharType="begin"/>
        </w:r>
        <w:r w:rsidR="0012743D" w:rsidRPr="000E5A31">
          <w:rPr>
            <w:webHidden/>
          </w:rPr>
          <w:instrText xml:space="preserve"> PAGEREF _Toc396989041 \h </w:instrText>
        </w:r>
        <w:r w:rsidR="00C85B6B" w:rsidRPr="000E5A31">
          <w:rPr>
            <w:webHidden/>
          </w:rPr>
        </w:r>
        <w:r w:rsidR="00C85B6B" w:rsidRPr="000E5A31">
          <w:rPr>
            <w:webHidden/>
          </w:rPr>
          <w:fldChar w:fldCharType="separate"/>
        </w:r>
        <w:r w:rsidR="00467A69" w:rsidRPr="000E5A31">
          <w:rPr>
            <w:webHidden/>
          </w:rPr>
          <w:t>18</w:t>
        </w:r>
        <w:r w:rsidR="00C85B6B" w:rsidRPr="000E5A31">
          <w:rPr>
            <w:webHidden/>
          </w:rPr>
          <w:fldChar w:fldCharType="end"/>
        </w:r>
      </w:hyperlink>
    </w:p>
    <w:p w:rsidR="0012743D" w:rsidRPr="000E5A31" w:rsidRDefault="00FC0BB3">
      <w:pPr>
        <w:pStyle w:val="Verzeichnis2"/>
        <w:rPr>
          <w:rFonts w:asciiTheme="minorHAnsi" w:eastAsiaTheme="minorEastAsia" w:hAnsiTheme="minorHAnsi" w:cstheme="minorBidi"/>
          <w:szCs w:val="22"/>
        </w:rPr>
      </w:pPr>
      <w:hyperlink w:anchor="_Toc396989042" w:history="1">
        <w:r w:rsidR="0012743D" w:rsidRPr="000E5A31">
          <w:rPr>
            <w:rStyle w:val="Hyperlink"/>
          </w:rPr>
          <w:t>B.2.3</w:t>
        </w:r>
        <w:r w:rsidR="0012743D" w:rsidRPr="000E5A31">
          <w:rPr>
            <w:rFonts w:asciiTheme="minorHAnsi" w:eastAsiaTheme="minorEastAsia" w:hAnsiTheme="minorHAnsi" w:cstheme="minorBidi"/>
            <w:szCs w:val="22"/>
          </w:rPr>
          <w:tab/>
        </w:r>
        <w:r w:rsidR="0012743D" w:rsidRPr="000E5A31">
          <w:rPr>
            <w:rStyle w:val="Hyperlink"/>
          </w:rPr>
          <w:t>Zielerreichung</w:t>
        </w:r>
        <w:r w:rsidR="0012743D" w:rsidRPr="000E5A31">
          <w:rPr>
            <w:webHidden/>
          </w:rPr>
          <w:tab/>
        </w:r>
        <w:r w:rsidR="00C85B6B" w:rsidRPr="000E5A31">
          <w:rPr>
            <w:webHidden/>
          </w:rPr>
          <w:fldChar w:fldCharType="begin"/>
        </w:r>
        <w:r w:rsidR="0012743D" w:rsidRPr="000E5A31">
          <w:rPr>
            <w:webHidden/>
          </w:rPr>
          <w:instrText xml:space="preserve"> PAGEREF _Toc396989042 \h </w:instrText>
        </w:r>
        <w:r w:rsidR="00C85B6B" w:rsidRPr="000E5A31">
          <w:rPr>
            <w:webHidden/>
          </w:rPr>
        </w:r>
        <w:r w:rsidR="00C85B6B" w:rsidRPr="000E5A31">
          <w:rPr>
            <w:webHidden/>
          </w:rPr>
          <w:fldChar w:fldCharType="separate"/>
        </w:r>
        <w:r w:rsidR="00467A69" w:rsidRPr="000E5A31">
          <w:rPr>
            <w:webHidden/>
          </w:rPr>
          <w:t>19</w:t>
        </w:r>
        <w:r w:rsidR="00C85B6B" w:rsidRPr="000E5A31">
          <w:rPr>
            <w:webHidden/>
          </w:rPr>
          <w:fldChar w:fldCharType="end"/>
        </w:r>
      </w:hyperlink>
    </w:p>
    <w:p w:rsidR="0012743D" w:rsidRPr="000E5A31" w:rsidRDefault="00FC0BB3">
      <w:pPr>
        <w:pStyle w:val="Verzeichnis2"/>
        <w:rPr>
          <w:rFonts w:asciiTheme="minorHAnsi" w:eastAsiaTheme="minorEastAsia" w:hAnsiTheme="minorHAnsi" w:cstheme="minorBidi"/>
          <w:szCs w:val="22"/>
        </w:rPr>
      </w:pPr>
      <w:hyperlink w:anchor="_Toc396989043" w:history="1">
        <w:r w:rsidR="0012743D" w:rsidRPr="000E5A31">
          <w:rPr>
            <w:rStyle w:val="Hyperlink"/>
          </w:rPr>
          <w:t>B.2.4</w:t>
        </w:r>
        <w:r w:rsidR="0012743D" w:rsidRPr="000E5A31">
          <w:rPr>
            <w:rFonts w:asciiTheme="minorHAnsi" w:eastAsiaTheme="minorEastAsia" w:hAnsiTheme="minorHAnsi" w:cstheme="minorBidi"/>
            <w:szCs w:val="22"/>
          </w:rPr>
          <w:tab/>
        </w:r>
        <w:r w:rsidR="0012743D" w:rsidRPr="000E5A31">
          <w:rPr>
            <w:rStyle w:val="Hyperlink"/>
          </w:rPr>
          <w:t>Wirkungen</w:t>
        </w:r>
        <w:r w:rsidR="0012743D" w:rsidRPr="000E5A31">
          <w:rPr>
            <w:webHidden/>
          </w:rPr>
          <w:tab/>
        </w:r>
        <w:r w:rsidR="00C85B6B" w:rsidRPr="000E5A31">
          <w:rPr>
            <w:webHidden/>
          </w:rPr>
          <w:fldChar w:fldCharType="begin"/>
        </w:r>
        <w:r w:rsidR="0012743D" w:rsidRPr="000E5A31">
          <w:rPr>
            <w:webHidden/>
          </w:rPr>
          <w:instrText xml:space="preserve"> PAGEREF _Toc396989043 \h </w:instrText>
        </w:r>
        <w:r w:rsidR="00C85B6B" w:rsidRPr="000E5A31">
          <w:rPr>
            <w:webHidden/>
          </w:rPr>
        </w:r>
        <w:r w:rsidR="00C85B6B" w:rsidRPr="000E5A31">
          <w:rPr>
            <w:webHidden/>
          </w:rPr>
          <w:fldChar w:fldCharType="separate"/>
        </w:r>
        <w:r w:rsidR="00467A69" w:rsidRPr="000E5A31">
          <w:rPr>
            <w:webHidden/>
          </w:rPr>
          <w:t>25</w:t>
        </w:r>
        <w:r w:rsidR="00C85B6B" w:rsidRPr="000E5A31">
          <w:rPr>
            <w:webHidden/>
          </w:rPr>
          <w:fldChar w:fldCharType="end"/>
        </w:r>
      </w:hyperlink>
    </w:p>
    <w:p w:rsidR="0012743D" w:rsidRPr="000E5A31" w:rsidRDefault="00FC0BB3">
      <w:pPr>
        <w:pStyle w:val="Verzeichnis1"/>
        <w:rPr>
          <w:rFonts w:asciiTheme="minorHAnsi" w:eastAsiaTheme="minorEastAsia" w:hAnsiTheme="minorHAnsi" w:cstheme="minorBidi"/>
          <w:b w:val="0"/>
          <w:szCs w:val="22"/>
        </w:rPr>
      </w:pPr>
      <w:hyperlink w:anchor="_Toc396989044" w:history="1">
        <w:r w:rsidR="0012743D" w:rsidRPr="000E5A31">
          <w:rPr>
            <w:rStyle w:val="Hyperlink"/>
          </w:rPr>
          <w:t>B.3.</w:t>
        </w:r>
        <w:r w:rsidR="0012743D" w:rsidRPr="000E5A31">
          <w:rPr>
            <w:rFonts w:asciiTheme="minorHAnsi" w:eastAsiaTheme="minorEastAsia" w:hAnsiTheme="minorHAnsi" w:cstheme="minorBidi"/>
            <w:b w:val="0"/>
            <w:szCs w:val="22"/>
          </w:rPr>
          <w:tab/>
        </w:r>
        <w:r w:rsidR="0012743D" w:rsidRPr="000E5A31">
          <w:rPr>
            <w:rStyle w:val="Hyperlink"/>
          </w:rPr>
          <w:t>Handlungsbedarf</w:t>
        </w:r>
        <w:r w:rsidR="0012743D" w:rsidRPr="000E5A31">
          <w:rPr>
            <w:webHidden/>
          </w:rPr>
          <w:tab/>
        </w:r>
        <w:r w:rsidR="00C85B6B" w:rsidRPr="000E5A31">
          <w:rPr>
            <w:webHidden/>
          </w:rPr>
          <w:fldChar w:fldCharType="begin"/>
        </w:r>
        <w:r w:rsidR="0012743D" w:rsidRPr="000E5A31">
          <w:rPr>
            <w:webHidden/>
          </w:rPr>
          <w:instrText xml:space="preserve"> PAGEREF _Toc396989044 \h </w:instrText>
        </w:r>
        <w:r w:rsidR="00C85B6B" w:rsidRPr="000E5A31">
          <w:rPr>
            <w:webHidden/>
          </w:rPr>
        </w:r>
        <w:r w:rsidR="00C85B6B" w:rsidRPr="000E5A31">
          <w:rPr>
            <w:webHidden/>
          </w:rPr>
          <w:fldChar w:fldCharType="separate"/>
        </w:r>
        <w:r w:rsidR="00467A69" w:rsidRPr="000E5A31">
          <w:rPr>
            <w:webHidden/>
          </w:rPr>
          <w:t>28</w:t>
        </w:r>
        <w:r w:rsidR="00C85B6B" w:rsidRPr="000E5A31">
          <w:rPr>
            <w:webHidden/>
          </w:rPr>
          <w:fldChar w:fldCharType="end"/>
        </w:r>
      </w:hyperlink>
    </w:p>
    <w:p w:rsidR="000C5AD2" w:rsidRPr="000E5A31" w:rsidRDefault="00C85B6B" w:rsidP="000C5AD2">
      <w:pPr>
        <w:spacing w:before="480" w:after="120"/>
        <w:rPr>
          <w:b/>
        </w:rPr>
      </w:pPr>
      <w:r w:rsidRPr="000E5A31">
        <w:fldChar w:fldCharType="end"/>
      </w:r>
      <w:r w:rsidR="000C5AD2" w:rsidRPr="000E5A31">
        <w:rPr>
          <w:b/>
        </w:rPr>
        <w:t>Anlage</w:t>
      </w:r>
    </w:p>
    <w:p w:rsidR="00836FF6" w:rsidRPr="000E5A31" w:rsidRDefault="00E42EF4" w:rsidP="00836FF6">
      <w:r w:rsidRPr="000E5A31">
        <w:t>Aktuelle Wirkungsmatrix</w:t>
      </w:r>
    </w:p>
    <w:p w:rsidR="00415D96" w:rsidRPr="000E5A31" w:rsidRDefault="00E0287B" w:rsidP="00345DB6">
      <w:pPr>
        <w:spacing w:after="120"/>
        <w:rPr>
          <w:b/>
        </w:rPr>
      </w:pPr>
      <w:r w:rsidRPr="000E5A31">
        <w:br w:type="page"/>
      </w:r>
      <w:r w:rsidR="00415D96" w:rsidRPr="000E5A31">
        <w:rPr>
          <w:b/>
        </w:rPr>
        <w:lastRenderedPageBreak/>
        <w:t>Abkürzungsverzeichnis</w:t>
      </w:r>
    </w:p>
    <w:tbl>
      <w:tblPr>
        <w:tblW w:w="0" w:type="auto"/>
        <w:tblLook w:val="00A0" w:firstRow="1" w:lastRow="0" w:firstColumn="1" w:lastColumn="0" w:noHBand="0" w:noVBand="0"/>
      </w:tblPr>
      <w:tblGrid>
        <w:gridCol w:w="1951"/>
        <w:gridCol w:w="7259"/>
      </w:tblGrid>
      <w:tr w:rsidR="007A3BED" w:rsidRPr="00FC0BB3" w:rsidTr="0098652F">
        <w:tc>
          <w:tcPr>
            <w:tcW w:w="1951" w:type="dxa"/>
          </w:tcPr>
          <w:p w:rsidR="007A3BED" w:rsidRPr="000E5A31" w:rsidRDefault="000C53AA" w:rsidP="00415D96">
            <w:r w:rsidRPr="000E5A31">
              <w:t>ADEREE</w:t>
            </w:r>
          </w:p>
        </w:tc>
        <w:tc>
          <w:tcPr>
            <w:tcW w:w="7259" w:type="dxa"/>
          </w:tcPr>
          <w:p w:rsidR="007A3BED" w:rsidRPr="00FC0BB3" w:rsidRDefault="0098652F" w:rsidP="0098652F">
            <w:pPr>
              <w:rPr>
                <w:lang w:val="en-US"/>
              </w:rPr>
            </w:pPr>
            <w:r w:rsidRPr="00FC0BB3">
              <w:rPr>
                <w:iCs/>
                <w:lang w:val="en-US"/>
              </w:rPr>
              <w:t>Moroccan</w:t>
            </w:r>
            <w:r w:rsidRPr="00FC0BB3">
              <w:rPr>
                <w:lang w:val="en-US"/>
              </w:rPr>
              <w:t xml:space="preserve"> </w:t>
            </w:r>
            <w:r w:rsidR="000C53AA" w:rsidRPr="00FC0BB3">
              <w:rPr>
                <w:lang w:val="en-US"/>
              </w:rPr>
              <w:t>Agency for Renewable Energ</w:t>
            </w:r>
            <w:r w:rsidRPr="00FC0BB3">
              <w:rPr>
                <w:lang w:val="en-US"/>
              </w:rPr>
              <w:t>y</w:t>
            </w:r>
            <w:r w:rsidR="000C53AA" w:rsidRPr="00FC0BB3">
              <w:rPr>
                <w:lang w:val="en-US"/>
              </w:rPr>
              <w:t xml:space="preserve"> and Energy Efficiency</w:t>
            </w:r>
          </w:p>
        </w:tc>
      </w:tr>
      <w:tr w:rsidR="00FC3114" w:rsidRPr="000E5A31" w:rsidTr="0098652F">
        <w:tc>
          <w:tcPr>
            <w:tcW w:w="1951" w:type="dxa"/>
          </w:tcPr>
          <w:p w:rsidR="00FC3114" w:rsidRPr="000E5A31" w:rsidRDefault="00FC3114" w:rsidP="00415D96">
            <w:r w:rsidRPr="000E5A31">
              <w:t>AFEX</w:t>
            </w:r>
          </w:p>
        </w:tc>
        <w:tc>
          <w:tcPr>
            <w:tcW w:w="7259" w:type="dxa"/>
          </w:tcPr>
          <w:p w:rsidR="00FC3114" w:rsidRPr="000E5A31" w:rsidRDefault="00FC3114" w:rsidP="0098652F">
            <w:pPr>
              <w:rPr>
                <w:iCs/>
              </w:rPr>
            </w:pPr>
            <w:r w:rsidRPr="000E5A31">
              <w:rPr>
                <w:rFonts w:eastAsia="Cambria" w:cs="Arial"/>
                <w:bCs/>
                <w:szCs w:val="22"/>
                <w:lang w:eastAsia="fr-FR"/>
              </w:rPr>
              <w:t>Arab Future Energy Index</w:t>
            </w:r>
          </w:p>
        </w:tc>
      </w:tr>
      <w:tr w:rsidR="009B6305" w:rsidRPr="000E5A31" w:rsidTr="0098652F">
        <w:tc>
          <w:tcPr>
            <w:tcW w:w="1951" w:type="dxa"/>
          </w:tcPr>
          <w:p w:rsidR="009B6305" w:rsidRPr="000E5A31" w:rsidRDefault="009B6305" w:rsidP="00415D96">
            <w:r w:rsidRPr="000E5A31">
              <w:t>AMA</w:t>
            </w:r>
          </w:p>
        </w:tc>
        <w:tc>
          <w:tcPr>
            <w:tcW w:w="7259" w:type="dxa"/>
          </w:tcPr>
          <w:p w:rsidR="009B6305" w:rsidRPr="000E5A31" w:rsidRDefault="009B6305" w:rsidP="009B6305">
            <w:pPr>
              <w:rPr>
                <w:iCs/>
              </w:rPr>
            </w:pPr>
            <w:r w:rsidRPr="000E5A31">
              <w:rPr>
                <w:iCs/>
              </w:rPr>
              <w:t>Auslandsmitarbeiter</w:t>
            </w:r>
          </w:p>
        </w:tc>
      </w:tr>
      <w:tr w:rsidR="00772C92" w:rsidRPr="00FC0BB3" w:rsidTr="0098652F">
        <w:tc>
          <w:tcPr>
            <w:tcW w:w="1951" w:type="dxa"/>
          </w:tcPr>
          <w:p w:rsidR="00772C92" w:rsidRPr="000E5A31" w:rsidRDefault="000C53AA" w:rsidP="00415D96">
            <w:r w:rsidRPr="000E5A31">
              <w:t>ANME</w:t>
            </w:r>
          </w:p>
        </w:tc>
        <w:tc>
          <w:tcPr>
            <w:tcW w:w="7259" w:type="dxa"/>
          </w:tcPr>
          <w:p w:rsidR="00772C92" w:rsidRPr="00FC0BB3" w:rsidRDefault="0098652F" w:rsidP="00FC3114">
            <w:pPr>
              <w:rPr>
                <w:lang w:val="en-US"/>
              </w:rPr>
            </w:pPr>
            <w:r w:rsidRPr="00FC0BB3">
              <w:rPr>
                <w:lang w:val="en-US"/>
              </w:rPr>
              <w:t xml:space="preserve">Tunisian </w:t>
            </w:r>
            <w:r w:rsidR="000C53AA" w:rsidRPr="00FC0BB3">
              <w:rPr>
                <w:lang w:val="en-US"/>
              </w:rPr>
              <w:t>Agency for Energy Conservation</w:t>
            </w:r>
          </w:p>
        </w:tc>
      </w:tr>
      <w:tr w:rsidR="00FC3114" w:rsidRPr="00FC0BB3" w:rsidTr="0098652F">
        <w:tc>
          <w:tcPr>
            <w:tcW w:w="1951" w:type="dxa"/>
          </w:tcPr>
          <w:p w:rsidR="00FC3114" w:rsidRPr="000E5A31" w:rsidRDefault="00FC3114" w:rsidP="00415D96">
            <w:r w:rsidRPr="000E5A31">
              <w:t>APIA</w:t>
            </w:r>
          </w:p>
        </w:tc>
        <w:tc>
          <w:tcPr>
            <w:tcW w:w="7259" w:type="dxa"/>
          </w:tcPr>
          <w:p w:rsidR="00FC3114" w:rsidRPr="00FC0BB3" w:rsidRDefault="00FC3114" w:rsidP="0098652F">
            <w:pPr>
              <w:rPr>
                <w:lang w:val="en-US"/>
              </w:rPr>
            </w:pPr>
            <w:r w:rsidRPr="00FC0BB3">
              <w:rPr>
                <w:lang w:val="en-US"/>
              </w:rPr>
              <w:t>Tunisian Agency for Agricultural Investment</w:t>
            </w:r>
          </w:p>
        </w:tc>
      </w:tr>
      <w:tr w:rsidR="009B6305" w:rsidRPr="000E5A31" w:rsidTr="0098652F">
        <w:tc>
          <w:tcPr>
            <w:tcW w:w="1951" w:type="dxa"/>
          </w:tcPr>
          <w:p w:rsidR="009B6305" w:rsidRPr="000E5A31" w:rsidRDefault="009B6305" w:rsidP="00415D96">
            <w:r w:rsidRPr="000E5A31">
              <w:t>CD</w:t>
            </w:r>
          </w:p>
        </w:tc>
        <w:tc>
          <w:tcPr>
            <w:tcW w:w="7259" w:type="dxa"/>
          </w:tcPr>
          <w:p w:rsidR="009B6305" w:rsidRPr="000E5A31" w:rsidRDefault="009B6305" w:rsidP="0098652F">
            <w:r w:rsidRPr="000E5A31">
              <w:t>Capacity Development</w:t>
            </w:r>
          </w:p>
        </w:tc>
      </w:tr>
      <w:tr w:rsidR="0098652F" w:rsidRPr="000E5A31" w:rsidTr="0098652F">
        <w:tc>
          <w:tcPr>
            <w:tcW w:w="1951" w:type="dxa"/>
          </w:tcPr>
          <w:p w:rsidR="0098652F" w:rsidRPr="000E5A31" w:rsidRDefault="0098652F" w:rsidP="00415D96">
            <w:r w:rsidRPr="000E5A31">
              <w:t>CMI</w:t>
            </w:r>
          </w:p>
        </w:tc>
        <w:tc>
          <w:tcPr>
            <w:tcW w:w="7259" w:type="dxa"/>
          </w:tcPr>
          <w:p w:rsidR="0098652F" w:rsidRPr="000E5A31" w:rsidRDefault="0098652F" w:rsidP="00772C92">
            <w:r w:rsidRPr="000E5A31">
              <w:t>Center for Mediterranean Integration</w:t>
            </w:r>
          </w:p>
        </w:tc>
      </w:tr>
      <w:tr w:rsidR="00772C92" w:rsidRPr="000E5A31" w:rsidTr="0098652F">
        <w:tc>
          <w:tcPr>
            <w:tcW w:w="1951" w:type="dxa"/>
          </w:tcPr>
          <w:p w:rsidR="00772C92" w:rsidRPr="000E5A31" w:rsidRDefault="00772C92" w:rsidP="00415D96">
            <w:r w:rsidRPr="000E5A31">
              <w:t>CSP</w:t>
            </w:r>
          </w:p>
        </w:tc>
        <w:tc>
          <w:tcPr>
            <w:tcW w:w="7259" w:type="dxa"/>
          </w:tcPr>
          <w:p w:rsidR="00772C92" w:rsidRPr="000E5A31" w:rsidRDefault="00772C92" w:rsidP="00772C92">
            <w:r w:rsidRPr="000E5A31">
              <w:t>Concentrating Solar Power</w:t>
            </w:r>
          </w:p>
        </w:tc>
      </w:tr>
      <w:tr w:rsidR="00703C16" w:rsidRPr="000E5A31" w:rsidTr="0098652F">
        <w:tc>
          <w:tcPr>
            <w:tcW w:w="1951" w:type="dxa"/>
          </w:tcPr>
          <w:p w:rsidR="00703C16" w:rsidRPr="000E5A31" w:rsidRDefault="00703C16" w:rsidP="00415D96">
            <w:r w:rsidRPr="000E5A31">
              <w:t>ECA</w:t>
            </w:r>
          </w:p>
        </w:tc>
        <w:tc>
          <w:tcPr>
            <w:tcW w:w="7259" w:type="dxa"/>
          </w:tcPr>
          <w:p w:rsidR="00703C16" w:rsidRPr="000E5A31" w:rsidRDefault="00703C16" w:rsidP="00772C92">
            <w:r w:rsidRPr="000E5A31">
              <w:rPr>
                <w:rFonts w:cs="Arial"/>
                <w:szCs w:val="22"/>
              </w:rPr>
              <w:t>UN Wirtschafts- und Sozialrat für Afrika</w:t>
            </w:r>
          </w:p>
        </w:tc>
      </w:tr>
      <w:tr w:rsidR="00772C92" w:rsidRPr="000E5A31" w:rsidTr="0098652F">
        <w:tc>
          <w:tcPr>
            <w:tcW w:w="1951" w:type="dxa"/>
          </w:tcPr>
          <w:p w:rsidR="00772C92" w:rsidRPr="000E5A31" w:rsidRDefault="00772C92" w:rsidP="00415D96">
            <w:r w:rsidRPr="000E5A31">
              <w:t>EE</w:t>
            </w:r>
          </w:p>
        </w:tc>
        <w:tc>
          <w:tcPr>
            <w:tcW w:w="7259" w:type="dxa"/>
          </w:tcPr>
          <w:p w:rsidR="00772C92" w:rsidRPr="000E5A31" w:rsidRDefault="00772C92" w:rsidP="00772C92">
            <w:r w:rsidRPr="000E5A31">
              <w:t>Energy Efficiency / Energieeffizienz</w:t>
            </w:r>
          </w:p>
        </w:tc>
      </w:tr>
      <w:tr w:rsidR="004E2737" w:rsidRPr="000E5A31" w:rsidTr="0098652F">
        <w:tc>
          <w:tcPr>
            <w:tcW w:w="1951" w:type="dxa"/>
          </w:tcPr>
          <w:p w:rsidR="004E2737" w:rsidRPr="000E5A31" w:rsidRDefault="004E2737" w:rsidP="00415D96">
            <w:r w:rsidRPr="000E5A31">
              <w:t>EPC</w:t>
            </w:r>
          </w:p>
        </w:tc>
        <w:tc>
          <w:tcPr>
            <w:tcW w:w="7259" w:type="dxa"/>
          </w:tcPr>
          <w:p w:rsidR="004E2737" w:rsidRPr="000E5A31" w:rsidRDefault="004E2737" w:rsidP="00772C92">
            <w:r w:rsidRPr="000E5A31">
              <w:t>Engineering, Procurement, Construction</w:t>
            </w:r>
          </w:p>
        </w:tc>
      </w:tr>
      <w:tr w:rsidR="00703C16" w:rsidRPr="000E5A31" w:rsidTr="0098652F">
        <w:tc>
          <w:tcPr>
            <w:tcW w:w="1951" w:type="dxa"/>
          </w:tcPr>
          <w:p w:rsidR="00703C16" w:rsidRPr="000E5A31" w:rsidRDefault="00703C16" w:rsidP="00415D96">
            <w:r w:rsidRPr="000E5A31">
              <w:t>ESCWA</w:t>
            </w:r>
          </w:p>
        </w:tc>
        <w:tc>
          <w:tcPr>
            <w:tcW w:w="7259" w:type="dxa"/>
          </w:tcPr>
          <w:p w:rsidR="00703C16" w:rsidRPr="000E5A31" w:rsidRDefault="00703C16" w:rsidP="00772C92">
            <w:r w:rsidRPr="000E5A31">
              <w:rPr>
                <w:rFonts w:cs="Arial"/>
                <w:szCs w:val="22"/>
              </w:rPr>
              <w:t>UN Wirtschafts- und Sozialrat für Westasien</w:t>
            </w:r>
          </w:p>
        </w:tc>
      </w:tr>
      <w:tr w:rsidR="009B6305" w:rsidRPr="000E5A31" w:rsidTr="0098652F">
        <w:tc>
          <w:tcPr>
            <w:tcW w:w="1951" w:type="dxa"/>
          </w:tcPr>
          <w:p w:rsidR="009B6305" w:rsidRPr="000E5A31" w:rsidRDefault="009B6305" w:rsidP="00415D96">
            <w:r w:rsidRPr="000E5A31">
              <w:t>EZ</w:t>
            </w:r>
          </w:p>
        </w:tc>
        <w:tc>
          <w:tcPr>
            <w:tcW w:w="7259" w:type="dxa"/>
          </w:tcPr>
          <w:p w:rsidR="009B6305" w:rsidRPr="000E5A31" w:rsidRDefault="009B6305" w:rsidP="00772C92">
            <w:r w:rsidRPr="000E5A31">
              <w:t>Entwicklungszusammenarbeit</w:t>
            </w:r>
          </w:p>
        </w:tc>
      </w:tr>
      <w:tr w:rsidR="009B6305" w:rsidRPr="000E5A31" w:rsidTr="0098652F">
        <w:tc>
          <w:tcPr>
            <w:tcW w:w="1951" w:type="dxa"/>
          </w:tcPr>
          <w:p w:rsidR="009B6305" w:rsidRPr="000E5A31" w:rsidRDefault="009B6305" w:rsidP="00415D96">
            <w:r w:rsidRPr="000E5A31">
              <w:t>FZ</w:t>
            </w:r>
          </w:p>
        </w:tc>
        <w:tc>
          <w:tcPr>
            <w:tcW w:w="7259" w:type="dxa"/>
          </w:tcPr>
          <w:p w:rsidR="009B6305" w:rsidRPr="000E5A31" w:rsidRDefault="009B6305" w:rsidP="00772C92">
            <w:r w:rsidRPr="000E5A31">
              <w:t xml:space="preserve">Finanzielle </w:t>
            </w:r>
            <w:r w:rsidRPr="000E5A31">
              <w:rPr>
                <w:bCs/>
                <w:iCs/>
              </w:rPr>
              <w:t>Z</w:t>
            </w:r>
            <w:r w:rsidRPr="000E5A31">
              <w:t>usammenarbeit</w:t>
            </w:r>
          </w:p>
        </w:tc>
      </w:tr>
      <w:tr w:rsidR="000770E1" w:rsidRPr="000E5A31" w:rsidTr="0098652F">
        <w:tc>
          <w:tcPr>
            <w:tcW w:w="1951" w:type="dxa"/>
          </w:tcPr>
          <w:p w:rsidR="000770E1" w:rsidRPr="000E5A31" w:rsidRDefault="000770E1" w:rsidP="00415D96">
            <w:r w:rsidRPr="000E5A31">
              <w:t>GW</w:t>
            </w:r>
          </w:p>
        </w:tc>
        <w:tc>
          <w:tcPr>
            <w:tcW w:w="7259" w:type="dxa"/>
          </w:tcPr>
          <w:p w:rsidR="000770E1" w:rsidRPr="000E5A31" w:rsidRDefault="000770E1" w:rsidP="00772C92">
            <w:r w:rsidRPr="000E5A31">
              <w:t>Gigawatt (=1 Mrd. Watt)</w:t>
            </w:r>
          </w:p>
        </w:tc>
      </w:tr>
      <w:tr w:rsidR="00703C16" w:rsidRPr="000E5A31" w:rsidTr="0098652F">
        <w:tc>
          <w:tcPr>
            <w:tcW w:w="1951" w:type="dxa"/>
          </w:tcPr>
          <w:p w:rsidR="00703C16" w:rsidRPr="000E5A31" w:rsidRDefault="00703C16" w:rsidP="00415D96">
            <w:r w:rsidRPr="000E5A31">
              <w:t>IKI</w:t>
            </w:r>
          </w:p>
        </w:tc>
        <w:tc>
          <w:tcPr>
            <w:tcW w:w="7259" w:type="dxa"/>
          </w:tcPr>
          <w:p w:rsidR="00703C16" w:rsidRPr="000E5A31" w:rsidRDefault="00703C16" w:rsidP="00703C16">
            <w:r w:rsidRPr="000E5A31">
              <w:rPr>
                <w:rFonts w:cs="Arial"/>
                <w:bCs/>
                <w:szCs w:val="22"/>
                <w:lang w:eastAsia="en-US"/>
              </w:rPr>
              <w:t>Internationale Klimaschutz-Initiative</w:t>
            </w:r>
          </w:p>
        </w:tc>
      </w:tr>
      <w:tr w:rsidR="00703C16" w:rsidRPr="000E5A31" w:rsidTr="0098652F">
        <w:tc>
          <w:tcPr>
            <w:tcW w:w="1951" w:type="dxa"/>
          </w:tcPr>
          <w:p w:rsidR="00703C16" w:rsidRPr="000E5A31" w:rsidRDefault="00703C16" w:rsidP="00415D96">
            <w:r w:rsidRPr="000E5A31">
              <w:t>IMA</w:t>
            </w:r>
          </w:p>
        </w:tc>
        <w:tc>
          <w:tcPr>
            <w:tcW w:w="7259" w:type="dxa"/>
          </w:tcPr>
          <w:p w:rsidR="00703C16" w:rsidRPr="000E5A31" w:rsidRDefault="00703C16" w:rsidP="00703C16">
            <w:r w:rsidRPr="000E5A31">
              <w:rPr>
                <w:iCs/>
              </w:rPr>
              <w:t>Inlandsmitarbeiter</w:t>
            </w:r>
          </w:p>
        </w:tc>
      </w:tr>
      <w:tr w:rsidR="004E2737" w:rsidRPr="000E5A31" w:rsidTr="0098652F">
        <w:tc>
          <w:tcPr>
            <w:tcW w:w="1951" w:type="dxa"/>
          </w:tcPr>
          <w:p w:rsidR="004E2737" w:rsidRPr="000E5A31" w:rsidRDefault="004E2737" w:rsidP="00415D96">
            <w:r w:rsidRPr="000E5A31">
              <w:t>IPP</w:t>
            </w:r>
          </w:p>
        </w:tc>
        <w:tc>
          <w:tcPr>
            <w:tcW w:w="7259" w:type="dxa"/>
          </w:tcPr>
          <w:p w:rsidR="004E2737" w:rsidRPr="000E5A31" w:rsidRDefault="004E2737" w:rsidP="00703C16">
            <w:pPr>
              <w:rPr>
                <w:iCs/>
              </w:rPr>
            </w:pPr>
            <w:r w:rsidRPr="000E5A31">
              <w:rPr>
                <w:iCs/>
              </w:rPr>
              <w:t>Independent Power Producer</w:t>
            </w:r>
          </w:p>
        </w:tc>
      </w:tr>
      <w:tr w:rsidR="0098652F" w:rsidRPr="000E5A31" w:rsidTr="0098652F">
        <w:tc>
          <w:tcPr>
            <w:tcW w:w="1951" w:type="dxa"/>
          </w:tcPr>
          <w:p w:rsidR="0098652F" w:rsidRPr="000E5A31" w:rsidRDefault="0098652F" w:rsidP="00415D96">
            <w:r w:rsidRPr="000E5A31">
              <w:t>IRENA</w:t>
            </w:r>
          </w:p>
        </w:tc>
        <w:tc>
          <w:tcPr>
            <w:tcW w:w="7259" w:type="dxa"/>
          </w:tcPr>
          <w:p w:rsidR="0098652F" w:rsidRPr="000E5A31" w:rsidRDefault="0098652F" w:rsidP="00772C92">
            <w:r w:rsidRPr="000E5A31">
              <w:rPr>
                <w:bCs/>
                <w:iCs/>
              </w:rPr>
              <w:t>International Renewable Energy Agency</w:t>
            </w:r>
          </w:p>
        </w:tc>
      </w:tr>
      <w:tr w:rsidR="009B6305" w:rsidRPr="000E5A31" w:rsidTr="0098652F">
        <w:tc>
          <w:tcPr>
            <w:tcW w:w="1951" w:type="dxa"/>
          </w:tcPr>
          <w:p w:rsidR="009B6305" w:rsidRPr="000E5A31" w:rsidRDefault="009B6305" w:rsidP="00415D96">
            <w:r w:rsidRPr="000E5A31">
              <w:t>IZ</w:t>
            </w:r>
          </w:p>
        </w:tc>
        <w:tc>
          <w:tcPr>
            <w:tcW w:w="7259" w:type="dxa"/>
          </w:tcPr>
          <w:p w:rsidR="009B6305" w:rsidRPr="000E5A31" w:rsidRDefault="009B6305" w:rsidP="009B6305">
            <w:pPr>
              <w:rPr>
                <w:bCs/>
                <w:iCs/>
              </w:rPr>
            </w:pPr>
            <w:r w:rsidRPr="000E5A31">
              <w:rPr>
                <w:bCs/>
                <w:iCs/>
              </w:rPr>
              <w:t>Internationale Z</w:t>
            </w:r>
            <w:r w:rsidRPr="000E5A31">
              <w:t>usammenarbeit</w:t>
            </w:r>
          </w:p>
        </w:tc>
      </w:tr>
      <w:tr w:rsidR="009B6305" w:rsidRPr="000E5A31" w:rsidTr="0098652F">
        <w:tc>
          <w:tcPr>
            <w:tcW w:w="1951" w:type="dxa"/>
          </w:tcPr>
          <w:p w:rsidR="009B6305" w:rsidRPr="000E5A31" w:rsidRDefault="009B6305" w:rsidP="00415D96">
            <w:r w:rsidRPr="000E5A31">
              <w:rPr>
                <w:rFonts w:eastAsia="Calibri" w:cs="Arial"/>
                <w:szCs w:val="22"/>
                <w:lang w:eastAsia="en-US"/>
              </w:rPr>
              <w:t>KKMU</w:t>
            </w:r>
          </w:p>
        </w:tc>
        <w:tc>
          <w:tcPr>
            <w:tcW w:w="7259" w:type="dxa"/>
          </w:tcPr>
          <w:p w:rsidR="009B6305" w:rsidRPr="000E5A31" w:rsidRDefault="009B6305" w:rsidP="00772C92">
            <w:pPr>
              <w:rPr>
                <w:bCs/>
                <w:iCs/>
              </w:rPr>
            </w:pPr>
            <w:r w:rsidRPr="000E5A31">
              <w:rPr>
                <w:bCs/>
                <w:iCs/>
              </w:rPr>
              <w:t>Kleinst-, Klein- und Mittlere Unternehmen</w:t>
            </w:r>
          </w:p>
        </w:tc>
      </w:tr>
      <w:tr w:rsidR="00772C92" w:rsidRPr="000E5A31" w:rsidTr="0098652F">
        <w:tc>
          <w:tcPr>
            <w:tcW w:w="1951" w:type="dxa"/>
          </w:tcPr>
          <w:p w:rsidR="00772C92" w:rsidRPr="000E5A31" w:rsidRDefault="00772C92" w:rsidP="00772C92">
            <w:r w:rsidRPr="000E5A31">
              <w:t xml:space="preserve">LAS </w:t>
            </w:r>
          </w:p>
        </w:tc>
        <w:tc>
          <w:tcPr>
            <w:tcW w:w="7259" w:type="dxa"/>
          </w:tcPr>
          <w:p w:rsidR="00772C92" w:rsidRPr="000E5A31" w:rsidRDefault="00772C92" w:rsidP="00772C92">
            <w:r w:rsidRPr="000E5A31">
              <w:t>League of Arab States</w:t>
            </w:r>
          </w:p>
        </w:tc>
      </w:tr>
      <w:tr w:rsidR="00975F1E" w:rsidRPr="00FC0BB3" w:rsidTr="0098652F">
        <w:tc>
          <w:tcPr>
            <w:tcW w:w="1951" w:type="dxa"/>
          </w:tcPr>
          <w:p w:rsidR="00975F1E" w:rsidRPr="000E5A31" w:rsidRDefault="00975F1E" w:rsidP="00772C92">
            <w:r w:rsidRPr="000E5A31">
              <w:t>MASEN</w:t>
            </w:r>
          </w:p>
        </w:tc>
        <w:tc>
          <w:tcPr>
            <w:tcW w:w="7259" w:type="dxa"/>
          </w:tcPr>
          <w:p w:rsidR="00975F1E" w:rsidRPr="00FC0BB3" w:rsidRDefault="00975F1E" w:rsidP="00772C92">
            <w:pPr>
              <w:rPr>
                <w:lang w:val="en-US"/>
              </w:rPr>
            </w:pPr>
            <w:r w:rsidRPr="00FC0BB3">
              <w:rPr>
                <w:lang w:val="en-US"/>
              </w:rPr>
              <w:t>Moroccan Agency for Solar Energy</w:t>
            </w:r>
          </w:p>
        </w:tc>
      </w:tr>
      <w:tr w:rsidR="000770E1" w:rsidRPr="000E5A31" w:rsidTr="0098652F">
        <w:tc>
          <w:tcPr>
            <w:tcW w:w="1951" w:type="dxa"/>
          </w:tcPr>
          <w:p w:rsidR="000770E1" w:rsidRPr="000E5A31" w:rsidRDefault="000770E1" w:rsidP="00772C92">
            <w:r w:rsidRPr="000E5A31">
              <w:t>MW</w:t>
            </w:r>
          </w:p>
        </w:tc>
        <w:tc>
          <w:tcPr>
            <w:tcW w:w="7259" w:type="dxa"/>
          </w:tcPr>
          <w:p w:rsidR="000770E1" w:rsidRPr="000E5A31" w:rsidRDefault="000770E1" w:rsidP="00772C92">
            <w:r w:rsidRPr="000E5A31">
              <w:t>Megawatt (=1 Mio. Watt)</w:t>
            </w:r>
          </w:p>
        </w:tc>
      </w:tr>
      <w:tr w:rsidR="0098652F" w:rsidRPr="00FC0BB3" w:rsidTr="0098652F">
        <w:tc>
          <w:tcPr>
            <w:tcW w:w="1951" w:type="dxa"/>
          </w:tcPr>
          <w:p w:rsidR="0098652F" w:rsidRPr="000E5A31" w:rsidRDefault="0098652F" w:rsidP="00772C92">
            <w:r w:rsidRPr="000E5A31">
              <w:t>MEDENER</w:t>
            </w:r>
          </w:p>
        </w:tc>
        <w:tc>
          <w:tcPr>
            <w:tcW w:w="7259" w:type="dxa"/>
          </w:tcPr>
          <w:p w:rsidR="0098652F" w:rsidRPr="00FC0BB3" w:rsidRDefault="0098652F" w:rsidP="0098652F">
            <w:pPr>
              <w:rPr>
                <w:lang w:val="en-US"/>
              </w:rPr>
            </w:pPr>
            <w:r w:rsidRPr="00FC0BB3">
              <w:rPr>
                <w:bCs/>
                <w:iCs/>
                <w:lang w:val="en-US"/>
              </w:rPr>
              <w:t>Mediterranean Network of Energy Management Agencies</w:t>
            </w:r>
          </w:p>
        </w:tc>
      </w:tr>
      <w:tr w:rsidR="00772C92" w:rsidRPr="000E5A31" w:rsidTr="0098652F">
        <w:tc>
          <w:tcPr>
            <w:tcW w:w="1951" w:type="dxa"/>
          </w:tcPr>
          <w:p w:rsidR="00772C92" w:rsidRPr="000E5A31" w:rsidRDefault="00772C92" w:rsidP="00415D96">
            <w:r w:rsidRPr="000E5A31">
              <w:t>MENA</w:t>
            </w:r>
          </w:p>
        </w:tc>
        <w:tc>
          <w:tcPr>
            <w:tcW w:w="7259" w:type="dxa"/>
          </w:tcPr>
          <w:p w:rsidR="00772C92" w:rsidRPr="000E5A31" w:rsidRDefault="00772C92" w:rsidP="00772C92">
            <w:r w:rsidRPr="000E5A31">
              <w:t>Middle East &amp; North Africa</w:t>
            </w:r>
          </w:p>
        </w:tc>
      </w:tr>
      <w:tr w:rsidR="004E2737" w:rsidRPr="000E5A31" w:rsidTr="0098652F">
        <w:tc>
          <w:tcPr>
            <w:tcW w:w="1951" w:type="dxa"/>
          </w:tcPr>
          <w:p w:rsidR="004E2737" w:rsidRPr="000E5A31" w:rsidRDefault="004E2737" w:rsidP="00415D96">
            <w:r w:rsidRPr="000E5A31">
              <w:t>NaWi</w:t>
            </w:r>
          </w:p>
        </w:tc>
        <w:tc>
          <w:tcPr>
            <w:tcW w:w="7259" w:type="dxa"/>
          </w:tcPr>
          <w:p w:rsidR="004E2737" w:rsidRPr="000E5A31" w:rsidRDefault="004E2737" w:rsidP="004E2737">
            <w:r w:rsidRPr="000E5A31">
              <w:rPr>
                <w:rFonts w:cs="Arial"/>
                <w:szCs w:val="22"/>
                <w:lang w:eastAsia="en-US"/>
              </w:rPr>
              <w:t>Nachhaltige Wirtschaftsentwicklung</w:t>
            </w:r>
          </w:p>
        </w:tc>
      </w:tr>
      <w:tr w:rsidR="004E2737" w:rsidRPr="000E5A31" w:rsidTr="0098652F">
        <w:tc>
          <w:tcPr>
            <w:tcW w:w="1951" w:type="dxa"/>
          </w:tcPr>
          <w:p w:rsidR="004E2737" w:rsidRPr="000E5A31" w:rsidRDefault="004E2737" w:rsidP="00415D96">
            <w:r w:rsidRPr="000E5A31">
              <w:t>NEEAP</w:t>
            </w:r>
          </w:p>
        </w:tc>
        <w:tc>
          <w:tcPr>
            <w:tcW w:w="7259" w:type="dxa"/>
          </w:tcPr>
          <w:p w:rsidR="004E2737" w:rsidRPr="000E5A31" w:rsidRDefault="004E2737" w:rsidP="004E2737">
            <w:pPr>
              <w:rPr>
                <w:rFonts w:cs="Arial"/>
                <w:szCs w:val="22"/>
                <w:lang w:eastAsia="en-US"/>
              </w:rPr>
            </w:pPr>
            <w:r w:rsidRPr="000E5A31">
              <w:rPr>
                <w:rFonts w:cs="Arial"/>
                <w:bCs/>
                <w:szCs w:val="22"/>
              </w:rPr>
              <w:t xml:space="preserve">Nationaler </w:t>
            </w:r>
            <w:r w:rsidRPr="000E5A31">
              <w:rPr>
                <w:rFonts w:cs="Arial"/>
                <w:szCs w:val="22"/>
              </w:rPr>
              <w:t>Energieeffizienzaktionsp</w:t>
            </w:r>
            <w:r w:rsidRPr="000E5A31">
              <w:rPr>
                <w:rFonts w:cs="Arial"/>
                <w:bCs/>
                <w:szCs w:val="22"/>
              </w:rPr>
              <w:t>lan</w:t>
            </w:r>
          </w:p>
        </w:tc>
      </w:tr>
      <w:tr w:rsidR="00703C16" w:rsidRPr="000E5A31" w:rsidTr="0098652F">
        <w:tc>
          <w:tcPr>
            <w:tcW w:w="1951" w:type="dxa"/>
          </w:tcPr>
          <w:p w:rsidR="00703C16" w:rsidRPr="000E5A31" w:rsidRDefault="00703C16" w:rsidP="00415D96">
            <w:r w:rsidRPr="000E5A31">
              <w:t>NFK</w:t>
            </w:r>
          </w:p>
        </w:tc>
        <w:tc>
          <w:tcPr>
            <w:tcW w:w="7259" w:type="dxa"/>
          </w:tcPr>
          <w:p w:rsidR="00703C16" w:rsidRPr="000E5A31" w:rsidRDefault="00703C16" w:rsidP="00703C16">
            <w:r w:rsidRPr="000E5A31">
              <w:t>Nationale Fachkraft</w:t>
            </w:r>
          </w:p>
        </w:tc>
      </w:tr>
      <w:tr w:rsidR="0098652F" w:rsidRPr="00FC0BB3" w:rsidTr="0098652F">
        <w:tc>
          <w:tcPr>
            <w:tcW w:w="1951" w:type="dxa"/>
          </w:tcPr>
          <w:p w:rsidR="0098652F" w:rsidRPr="000E5A31" w:rsidRDefault="0098652F" w:rsidP="00415D96">
            <w:r w:rsidRPr="000E5A31">
              <w:t>NREA</w:t>
            </w:r>
          </w:p>
        </w:tc>
        <w:tc>
          <w:tcPr>
            <w:tcW w:w="7259" w:type="dxa"/>
          </w:tcPr>
          <w:p w:rsidR="0098652F" w:rsidRPr="00FC0BB3" w:rsidRDefault="0098652F" w:rsidP="0098652F">
            <w:pPr>
              <w:rPr>
                <w:lang w:val="en-US"/>
              </w:rPr>
            </w:pPr>
            <w:r w:rsidRPr="00FC0BB3">
              <w:rPr>
                <w:lang w:val="en-US"/>
              </w:rPr>
              <w:t>Egyptian New &amp; Renewable Energy Authority</w:t>
            </w:r>
          </w:p>
        </w:tc>
      </w:tr>
      <w:tr w:rsidR="00C2117B" w:rsidRPr="00FC0BB3" w:rsidTr="0098652F">
        <w:tc>
          <w:tcPr>
            <w:tcW w:w="1951" w:type="dxa"/>
          </w:tcPr>
          <w:p w:rsidR="00C2117B" w:rsidRPr="000E5A31" w:rsidRDefault="00C2117B" w:rsidP="00415D96">
            <w:r w:rsidRPr="000E5A31">
              <w:t>ONEE</w:t>
            </w:r>
          </w:p>
        </w:tc>
        <w:tc>
          <w:tcPr>
            <w:tcW w:w="7259" w:type="dxa"/>
          </w:tcPr>
          <w:p w:rsidR="00C2117B" w:rsidRPr="00FC0BB3" w:rsidRDefault="0098652F" w:rsidP="0098652F">
            <w:pPr>
              <w:rPr>
                <w:lang w:val="en-US"/>
              </w:rPr>
            </w:pPr>
            <w:r w:rsidRPr="00FC0BB3">
              <w:rPr>
                <w:lang w:val="en-US"/>
              </w:rPr>
              <w:t xml:space="preserve">Moroccan </w:t>
            </w:r>
            <w:r w:rsidR="00C2117B" w:rsidRPr="00FC0BB3">
              <w:rPr>
                <w:lang w:val="en-US"/>
              </w:rPr>
              <w:t xml:space="preserve">Office </w:t>
            </w:r>
            <w:r w:rsidRPr="00FC0BB3">
              <w:rPr>
                <w:lang w:val="en-US"/>
              </w:rPr>
              <w:t xml:space="preserve">for </w:t>
            </w:r>
            <w:r w:rsidR="00C2117B" w:rsidRPr="00FC0BB3">
              <w:rPr>
                <w:lang w:val="en-US"/>
              </w:rPr>
              <w:t>Electricit</w:t>
            </w:r>
            <w:r w:rsidRPr="00FC0BB3">
              <w:rPr>
                <w:lang w:val="en-US"/>
              </w:rPr>
              <w:t>y</w:t>
            </w:r>
            <w:r w:rsidR="00C2117B" w:rsidRPr="00FC0BB3">
              <w:rPr>
                <w:lang w:val="en-US"/>
              </w:rPr>
              <w:t xml:space="preserve"> </w:t>
            </w:r>
            <w:r w:rsidRPr="00FC0BB3">
              <w:rPr>
                <w:lang w:val="en-US"/>
              </w:rPr>
              <w:t>and Water</w:t>
            </w:r>
          </w:p>
        </w:tc>
      </w:tr>
      <w:tr w:rsidR="00772C92" w:rsidRPr="000E5A31" w:rsidTr="0098652F">
        <w:tc>
          <w:tcPr>
            <w:tcW w:w="1951" w:type="dxa"/>
          </w:tcPr>
          <w:p w:rsidR="00772C92" w:rsidRPr="000E5A31" w:rsidRDefault="00772C92" w:rsidP="00415D96">
            <w:r w:rsidRPr="000E5A31">
              <w:t>PV</w:t>
            </w:r>
          </w:p>
        </w:tc>
        <w:tc>
          <w:tcPr>
            <w:tcW w:w="7259" w:type="dxa"/>
          </w:tcPr>
          <w:p w:rsidR="00772C92" w:rsidRPr="000E5A31" w:rsidRDefault="00772C92" w:rsidP="00772C92">
            <w:r w:rsidRPr="000E5A31">
              <w:t>Photovoltaik</w:t>
            </w:r>
          </w:p>
        </w:tc>
      </w:tr>
      <w:tr w:rsidR="00772C92" w:rsidRPr="00FC0BB3" w:rsidTr="0098652F">
        <w:tc>
          <w:tcPr>
            <w:tcW w:w="1951" w:type="dxa"/>
          </w:tcPr>
          <w:p w:rsidR="00772C92" w:rsidRPr="000E5A31" w:rsidRDefault="00772C92" w:rsidP="00415D96">
            <w:r w:rsidRPr="000E5A31">
              <w:t>RCREEE</w:t>
            </w:r>
          </w:p>
        </w:tc>
        <w:tc>
          <w:tcPr>
            <w:tcW w:w="7259" w:type="dxa"/>
          </w:tcPr>
          <w:p w:rsidR="00772C92" w:rsidRPr="00FC0BB3" w:rsidRDefault="00772C92" w:rsidP="00772C92">
            <w:pPr>
              <w:rPr>
                <w:lang w:val="en-US"/>
              </w:rPr>
            </w:pPr>
            <w:r w:rsidRPr="00FC0BB3">
              <w:rPr>
                <w:lang w:val="en-US"/>
              </w:rPr>
              <w:t>Regional Center for Renewable Energy and Energy Efficiency</w:t>
            </w:r>
          </w:p>
        </w:tc>
      </w:tr>
      <w:tr w:rsidR="00772C92" w:rsidRPr="000E5A31" w:rsidTr="0098652F">
        <w:tc>
          <w:tcPr>
            <w:tcW w:w="1951" w:type="dxa"/>
          </w:tcPr>
          <w:p w:rsidR="00772C92" w:rsidRPr="000E5A31" w:rsidRDefault="00772C92" w:rsidP="00772C92">
            <w:r w:rsidRPr="000E5A31">
              <w:t>RE</w:t>
            </w:r>
          </w:p>
        </w:tc>
        <w:tc>
          <w:tcPr>
            <w:tcW w:w="7259" w:type="dxa"/>
          </w:tcPr>
          <w:p w:rsidR="00772C92" w:rsidRPr="000E5A31" w:rsidRDefault="00772C92" w:rsidP="00772C92">
            <w:r w:rsidRPr="000E5A31">
              <w:t>Renewable Energy / Erneuerbare Energien</w:t>
            </w:r>
          </w:p>
        </w:tc>
      </w:tr>
      <w:tr w:rsidR="00FC3114" w:rsidRPr="000E5A31" w:rsidTr="0098652F">
        <w:tc>
          <w:tcPr>
            <w:tcW w:w="1951" w:type="dxa"/>
          </w:tcPr>
          <w:p w:rsidR="00FC3114" w:rsidRPr="000E5A31" w:rsidRDefault="00FC3114" w:rsidP="00772C92">
            <w:r w:rsidRPr="000E5A31">
              <w:t>RENAC</w:t>
            </w:r>
          </w:p>
        </w:tc>
        <w:tc>
          <w:tcPr>
            <w:tcW w:w="7259" w:type="dxa"/>
          </w:tcPr>
          <w:p w:rsidR="00FC3114" w:rsidRPr="000E5A31" w:rsidRDefault="00FC3114" w:rsidP="00772C92">
            <w:r w:rsidRPr="000E5A31">
              <w:rPr>
                <w:rFonts w:eastAsia="Cambria" w:cs="Arial"/>
                <w:bCs/>
                <w:szCs w:val="22"/>
                <w:lang w:eastAsia="fr-FR"/>
              </w:rPr>
              <w:t>Renewables Academy Berlin</w:t>
            </w:r>
          </w:p>
        </w:tc>
      </w:tr>
      <w:tr w:rsidR="00703C16" w:rsidRPr="00FC0BB3" w:rsidTr="0098652F">
        <w:tc>
          <w:tcPr>
            <w:tcW w:w="1951" w:type="dxa"/>
          </w:tcPr>
          <w:p w:rsidR="00703C16" w:rsidRPr="000E5A31" w:rsidRDefault="00703C16" w:rsidP="00772C92">
            <w:r w:rsidRPr="000E5A31">
              <w:t>SIE</w:t>
            </w:r>
          </w:p>
        </w:tc>
        <w:tc>
          <w:tcPr>
            <w:tcW w:w="7259" w:type="dxa"/>
          </w:tcPr>
          <w:p w:rsidR="00703C16" w:rsidRPr="00FC0BB3" w:rsidRDefault="00703C16" w:rsidP="00772C92">
            <w:pPr>
              <w:rPr>
                <w:lang w:val="en-US"/>
              </w:rPr>
            </w:pPr>
            <w:r w:rsidRPr="00FC0BB3">
              <w:rPr>
                <w:lang w:val="en-US"/>
              </w:rPr>
              <w:t>Moroccan Society for Energy Investments</w:t>
            </w:r>
          </w:p>
        </w:tc>
      </w:tr>
      <w:tr w:rsidR="00703C16" w:rsidRPr="000E5A31" w:rsidTr="0098652F">
        <w:tc>
          <w:tcPr>
            <w:tcW w:w="1951" w:type="dxa"/>
          </w:tcPr>
          <w:p w:rsidR="00703C16" w:rsidRPr="000E5A31" w:rsidRDefault="00703C16" w:rsidP="00772C92">
            <w:r w:rsidRPr="000E5A31">
              <w:t>SI MENA</w:t>
            </w:r>
          </w:p>
        </w:tc>
        <w:tc>
          <w:tcPr>
            <w:tcW w:w="7259" w:type="dxa"/>
          </w:tcPr>
          <w:p w:rsidR="00703C16" w:rsidRPr="000E5A31" w:rsidRDefault="00703C16" w:rsidP="00772C92">
            <w:r w:rsidRPr="000E5A31">
              <w:rPr>
                <w:rFonts w:cs="Arial"/>
                <w:szCs w:val="22"/>
                <w:lang w:eastAsia="en-US"/>
              </w:rPr>
              <w:t>Sonderinitiative zur Stabilisierung der MENA-Region</w:t>
            </w:r>
          </w:p>
        </w:tc>
      </w:tr>
      <w:tr w:rsidR="0098652F" w:rsidRPr="00FC0BB3" w:rsidTr="0098652F">
        <w:tc>
          <w:tcPr>
            <w:tcW w:w="1951" w:type="dxa"/>
          </w:tcPr>
          <w:p w:rsidR="0098652F" w:rsidRPr="000E5A31" w:rsidRDefault="0098652F" w:rsidP="00772C92">
            <w:r w:rsidRPr="000E5A31">
              <w:t>STEG</w:t>
            </w:r>
          </w:p>
        </w:tc>
        <w:tc>
          <w:tcPr>
            <w:tcW w:w="7259" w:type="dxa"/>
          </w:tcPr>
          <w:p w:rsidR="0098652F" w:rsidRPr="00FC0BB3" w:rsidRDefault="0098652F" w:rsidP="0098652F">
            <w:pPr>
              <w:rPr>
                <w:lang w:val="en-US"/>
              </w:rPr>
            </w:pPr>
            <w:r w:rsidRPr="00FC0BB3">
              <w:rPr>
                <w:lang w:val="en-US"/>
              </w:rPr>
              <w:t>Tunisian Company for Electricity and Gas</w:t>
            </w:r>
          </w:p>
        </w:tc>
      </w:tr>
      <w:tr w:rsidR="00772C92" w:rsidRPr="000E5A31" w:rsidTr="0098652F">
        <w:tc>
          <w:tcPr>
            <w:tcW w:w="1951" w:type="dxa"/>
          </w:tcPr>
          <w:p w:rsidR="00772C92" w:rsidRPr="000E5A31" w:rsidRDefault="00772C92" w:rsidP="00415D96">
            <w:r w:rsidRPr="000E5A31">
              <w:t>SWH</w:t>
            </w:r>
          </w:p>
        </w:tc>
        <w:tc>
          <w:tcPr>
            <w:tcW w:w="7259" w:type="dxa"/>
          </w:tcPr>
          <w:p w:rsidR="00772C92" w:rsidRPr="000E5A31" w:rsidRDefault="00772C92" w:rsidP="00772C92">
            <w:r w:rsidRPr="000E5A31">
              <w:t>Solar Water Heating</w:t>
            </w:r>
          </w:p>
        </w:tc>
      </w:tr>
      <w:tr w:rsidR="009B6305" w:rsidRPr="000E5A31" w:rsidTr="0098652F">
        <w:tc>
          <w:tcPr>
            <w:tcW w:w="1951" w:type="dxa"/>
          </w:tcPr>
          <w:p w:rsidR="009B6305" w:rsidRPr="000E5A31" w:rsidRDefault="009B6305" w:rsidP="00415D96">
            <w:r w:rsidRPr="000E5A31">
              <w:t>TZ</w:t>
            </w:r>
          </w:p>
        </w:tc>
        <w:tc>
          <w:tcPr>
            <w:tcW w:w="7259" w:type="dxa"/>
          </w:tcPr>
          <w:p w:rsidR="009B6305" w:rsidRPr="000E5A31" w:rsidRDefault="009B6305" w:rsidP="0098652F">
            <w:r w:rsidRPr="000E5A31">
              <w:t xml:space="preserve">Technische </w:t>
            </w:r>
            <w:r w:rsidRPr="000E5A31">
              <w:rPr>
                <w:bCs/>
                <w:iCs/>
              </w:rPr>
              <w:t>Z</w:t>
            </w:r>
            <w:r w:rsidRPr="000E5A31">
              <w:t>usammenarbeit</w:t>
            </w:r>
          </w:p>
        </w:tc>
      </w:tr>
      <w:tr w:rsidR="0098652F" w:rsidRPr="00FC0BB3" w:rsidTr="0098652F">
        <w:tc>
          <w:tcPr>
            <w:tcW w:w="1951" w:type="dxa"/>
          </w:tcPr>
          <w:p w:rsidR="0098652F" w:rsidRPr="000E5A31" w:rsidRDefault="0098652F" w:rsidP="00415D96">
            <w:r w:rsidRPr="000E5A31">
              <w:t>UfMS</w:t>
            </w:r>
          </w:p>
        </w:tc>
        <w:tc>
          <w:tcPr>
            <w:tcW w:w="7259" w:type="dxa"/>
          </w:tcPr>
          <w:p w:rsidR="0098652F" w:rsidRPr="00FC0BB3" w:rsidRDefault="0098652F" w:rsidP="0098652F">
            <w:pPr>
              <w:rPr>
                <w:lang w:val="en-US"/>
              </w:rPr>
            </w:pPr>
            <w:r w:rsidRPr="00FC0BB3">
              <w:rPr>
                <w:lang w:val="en-US"/>
              </w:rPr>
              <w:t>Secretariat of the Union for the Mediterranean</w:t>
            </w:r>
          </w:p>
        </w:tc>
      </w:tr>
      <w:tr w:rsidR="00FC3114" w:rsidRPr="000E5A31" w:rsidTr="0098652F">
        <w:tc>
          <w:tcPr>
            <w:tcW w:w="1951" w:type="dxa"/>
          </w:tcPr>
          <w:p w:rsidR="00FC3114" w:rsidRPr="000E5A31" w:rsidRDefault="00FC3114" w:rsidP="00415D96">
            <w:r w:rsidRPr="000E5A31">
              <w:t>WFES</w:t>
            </w:r>
          </w:p>
        </w:tc>
        <w:tc>
          <w:tcPr>
            <w:tcW w:w="7259" w:type="dxa"/>
          </w:tcPr>
          <w:p w:rsidR="00FC3114" w:rsidRPr="000E5A31" w:rsidRDefault="00FC3114" w:rsidP="0098652F">
            <w:r w:rsidRPr="000E5A31">
              <w:rPr>
                <w:rFonts w:eastAsia="Cambria" w:cs="Arial"/>
                <w:bCs/>
                <w:szCs w:val="22"/>
                <w:lang w:eastAsia="fr-FR"/>
              </w:rPr>
              <w:t>World Future Energy Summit</w:t>
            </w:r>
          </w:p>
        </w:tc>
      </w:tr>
    </w:tbl>
    <w:p w:rsidR="00345DB6" w:rsidRPr="000E5A31" w:rsidRDefault="00345DB6">
      <w:r w:rsidRPr="000E5A31">
        <w:br w:type="page"/>
      </w:r>
    </w:p>
    <w:p w:rsidR="00415D96" w:rsidRPr="000E5A31" w:rsidRDefault="0088567D" w:rsidP="0012743D">
      <w:pPr>
        <w:pStyle w:val="berschrift1"/>
      </w:pPr>
      <w:bookmarkStart w:id="1" w:name="_Toc396989029"/>
      <w:r w:rsidRPr="000E5A31">
        <w:lastRenderedPageBreak/>
        <w:t>A.</w:t>
      </w:r>
      <w:r w:rsidR="00415D96" w:rsidRPr="000E5A31">
        <w:t>1.</w:t>
      </w:r>
      <w:r w:rsidR="00415D96" w:rsidRPr="000E5A31">
        <w:tab/>
      </w:r>
      <w:r w:rsidR="00D25D55" w:rsidRPr="000E5A31">
        <w:t>Kurzbeschreibung</w:t>
      </w:r>
      <w:bookmarkEnd w:id="1"/>
    </w:p>
    <w:p w:rsidR="00C83A2F" w:rsidRPr="000E5A31" w:rsidRDefault="00C83A2F" w:rsidP="00C83A2F">
      <w:pPr>
        <w:autoSpaceDE w:val="0"/>
        <w:autoSpaceDN w:val="0"/>
        <w:adjustRightInd w:val="0"/>
        <w:spacing w:after="120"/>
        <w:rPr>
          <w:rFonts w:cs="Arial"/>
          <w:szCs w:val="22"/>
        </w:rPr>
      </w:pPr>
      <w:r w:rsidRPr="000E5A31">
        <w:rPr>
          <w:rFonts w:cs="Arial"/>
          <w:szCs w:val="22"/>
        </w:rPr>
        <w:t>Die Zielländer der MENA-Region (Ägypten, Marokko, Tunesien) leiden sowohl unter hoher Arbeitslosigkeit als auch unter einem stark wachsenden Energiebedarf. Die erheblichen P</w:t>
      </w:r>
      <w:r w:rsidRPr="000E5A31">
        <w:rPr>
          <w:rFonts w:cs="Arial"/>
          <w:szCs w:val="22"/>
        </w:rPr>
        <w:t>o</w:t>
      </w:r>
      <w:r w:rsidRPr="000E5A31">
        <w:rPr>
          <w:rFonts w:cs="Arial"/>
          <w:szCs w:val="22"/>
        </w:rPr>
        <w:t>tenziale zur Nutzung von erneuerbaren Energien (RE) und Energieeffizienz (EE) bleiben noch weitgehend ungenutzt. Erneuerbare Energien werden zwar gefördert, der Fokus liegt aber auf Großprojekten, die nur in der Bauphase zu signifikanten Beschäftigungseffekten führen, statt auf der Entwicklung der Märkte für beschäftigungswirksame dezentrale Anwe</w:t>
      </w:r>
      <w:r w:rsidRPr="000E5A31">
        <w:rPr>
          <w:rFonts w:cs="Arial"/>
          <w:szCs w:val="22"/>
        </w:rPr>
        <w:t>n</w:t>
      </w:r>
      <w:r w:rsidRPr="000E5A31">
        <w:rPr>
          <w:rFonts w:cs="Arial"/>
          <w:szCs w:val="22"/>
        </w:rPr>
        <w:t>dungen. Energieeffizienz wird nur unzureichend gefördert, z.B. im Gebäudebereich, wo durch den verstärkten Einsatz von Gebäudeisolierung</w:t>
      </w:r>
      <w:r w:rsidR="000770E1" w:rsidRPr="000E5A31">
        <w:rPr>
          <w:rFonts w:cs="Arial"/>
          <w:szCs w:val="22"/>
        </w:rPr>
        <w:t>en</w:t>
      </w:r>
      <w:r w:rsidRPr="000E5A31">
        <w:rPr>
          <w:rFonts w:cs="Arial"/>
          <w:szCs w:val="22"/>
        </w:rPr>
        <w:t xml:space="preserve"> zahlreiche Arbeitsplätze geschaffen werden könnten. Das Kernproblem besteht darin, dass die großen Chancen, die sich aus der Entwicklung der Märkte für beschäftigungsintensive RE- und EE-Anwendungen ergeben, nur unzureichend genutzt werden. In einzelnen Ländern liegen </w:t>
      </w:r>
      <w:r w:rsidR="000770E1" w:rsidRPr="000E5A31">
        <w:rPr>
          <w:rFonts w:cs="Arial"/>
          <w:szCs w:val="22"/>
        </w:rPr>
        <w:t>dabei</w:t>
      </w:r>
      <w:r w:rsidRPr="000E5A31">
        <w:rPr>
          <w:rFonts w:cs="Arial"/>
          <w:szCs w:val="22"/>
        </w:rPr>
        <w:t xml:space="preserve"> bereits Erfahrungen mit bestimmten Technologien und Förderansätzen vor, die teilweise übertragbar sind und von denen die anderen Länder in der Region profitieren könnten.</w:t>
      </w:r>
    </w:p>
    <w:p w:rsidR="00C83A2F" w:rsidRPr="000E5A31" w:rsidRDefault="00C83A2F" w:rsidP="00C83A2F">
      <w:pPr>
        <w:autoSpaceDE w:val="0"/>
        <w:autoSpaceDN w:val="0"/>
        <w:adjustRightInd w:val="0"/>
        <w:spacing w:after="120"/>
        <w:rPr>
          <w:rFonts w:cs="Arial"/>
          <w:szCs w:val="22"/>
        </w:rPr>
      </w:pPr>
      <w:r w:rsidRPr="000E5A31">
        <w:rPr>
          <w:rFonts w:cs="Arial"/>
          <w:szCs w:val="22"/>
        </w:rPr>
        <w:t xml:space="preserve">Das Modulziel lautet: „Die Voraussetzungen für die Entwicklung </w:t>
      </w:r>
      <w:r w:rsidR="000770E1" w:rsidRPr="000E5A31">
        <w:rPr>
          <w:rFonts w:cs="Arial"/>
          <w:szCs w:val="22"/>
        </w:rPr>
        <w:t>von</w:t>
      </w:r>
      <w:r w:rsidRPr="000E5A31">
        <w:rPr>
          <w:rFonts w:cs="Arial"/>
          <w:szCs w:val="22"/>
        </w:rPr>
        <w:t xml:space="preserve"> Märkte</w:t>
      </w:r>
      <w:r w:rsidR="000770E1" w:rsidRPr="000E5A31">
        <w:rPr>
          <w:rFonts w:cs="Arial"/>
          <w:szCs w:val="22"/>
        </w:rPr>
        <w:t>n</w:t>
      </w:r>
      <w:r w:rsidRPr="000E5A31">
        <w:rPr>
          <w:rFonts w:cs="Arial"/>
          <w:szCs w:val="22"/>
        </w:rPr>
        <w:t xml:space="preserve"> für beschäft</w:t>
      </w:r>
      <w:r w:rsidRPr="000E5A31">
        <w:rPr>
          <w:rFonts w:cs="Arial"/>
          <w:szCs w:val="22"/>
        </w:rPr>
        <w:t>i</w:t>
      </w:r>
      <w:r w:rsidRPr="000E5A31">
        <w:rPr>
          <w:rFonts w:cs="Arial"/>
          <w:szCs w:val="22"/>
        </w:rPr>
        <w:t>gungsintensive erneuerbare Energie- und Energieeffizienz-Technologien sind verbessert."</w:t>
      </w:r>
    </w:p>
    <w:p w:rsidR="00C83A2F" w:rsidRPr="000E5A31" w:rsidRDefault="00C83A2F" w:rsidP="00C83A2F">
      <w:pPr>
        <w:autoSpaceDE w:val="0"/>
        <w:autoSpaceDN w:val="0"/>
        <w:adjustRightInd w:val="0"/>
        <w:spacing w:after="120"/>
        <w:rPr>
          <w:rFonts w:cs="Arial"/>
          <w:szCs w:val="22"/>
        </w:rPr>
      </w:pPr>
      <w:r w:rsidRPr="000E5A31">
        <w:rPr>
          <w:rFonts w:cs="Arial"/>
          <w:szCs w:val="22"/>
        </w:rPr>
        <w:t>Das Vorhaben arbeitet in Marokko, Tunesien und Ägypten. Es unterstützt unter anderem das Regionale Zentrum für erneuerbare Energie und Energieeffizienz (RCREEE) in Kairo beim regionalen Austausch zu besonders beschäftigungswirksamen Ansätzen bei der Förderung von RE/EE. Der Fokus liegt auf der Entwicklung von Märkten</w:t>
      </w:r>
      <w:r w:rsidR="00FC0BB3">
        <w:rPr>
          <w:rFonts w:cs="Arial"/>
          <w:szCs w:val="22"/>
        </w:rPr>
        <w:t>,</w:t>
      </w:r>
      <w:r w:rsidRPr="000E5A31">
        <w:rPr>
          <w:rFonts w:cs="Arial"/>
          <w:szCs w:val="22"/>
        </w:rPr>
        <w:t xml:space="preserve"> insbesondere für dezentrale, kleinere Anlagen und Installationen in Verbindung mit Energieeffizienzmaßnahmen.</w:t>
      </w:r>
    </w:p>
    <w:p w:rsidR="00C83A2F" w:rsidRPr="000E5A31" w:rsidRDefault="00C83A2F" w:rsidP="00C83A2F">
      <w:pPr>
        <w:autoSpaceDE w:val="0"/>
        <w:autoSpaceDN w:val="0"/>
        <w:adjustRightInd w:val="0"/>
        <w:spacing w:after="120"/>
        <w:rPr>
          <w:rFonts w:cs="Arial"/>
          <w:szCs w:val="22"/>
        </w:rPr>
      </w:pPr>
      <w:r w:rsidRPr="000E5A31">
        <w:rPr>
          <w:rFonts w:cs="Arial"/>
          <w:szCs w:val="22"/>
        </w:rPr>
        <w:t>Auf nationaler Ebene sind Dialoge zwischen Regierungen, Wirtschaft und Wissenschaft vo</w:t>
      </w:r>
      <w:r w:rsidRPr="000E5A31">
        <w:rPr>
          <w:rFonts w:cs="Arial"/>
          <w:szCs w:val="22"/>
        </w:rPr>
        <w:t>r</w:t>
      </w:r>
      <w:r w:rsidRPr="000E5A31">
        <w:rPr>
          <w:rFonts w:cs="Arial"/>
          <w:szCs w:val="22"/>
        </w:rPr>
        <w:t>gesehen, die die Beschäftigungswirkung</w:t>
      </w:r>
      <w:r w:rsidR="000770E1" w:rsidRPr="000E5A31">
        <w:rPr>
          <w:rFonts w:cs="Arial"/>
          <w:szCs w:val="22"/>
        </w:rPr>
        <w:t>en</w:t>
      </w:r>
      <w:r w:rsidRPr="000E5A31">
        <w:rPr>
          <w:rFonts w:cs="Arial"/>
          <w:szCs w:val="22"/>
        </w:rPr>
        <w:t xml:space="preserve"> unterschiedlicher RE/EE-Förderansätze gemei</w:t>
      </w:r>
      <w:r w:rsidRPr="000E5A31">
        <w:rPr>
          <w:rFonts w:cs="Arial"/>
          <w:szCs w:val="22"/>
        </w:rPr>
        <w:t>n</w:t>
      </w:r>
      <w:r w:rsidRPr="000E5A31">
        <w:rPr>
          <w:rFonts w:cs="Arial"/>
          <w:szCs w:val="22"/>
        </w:rPr>
        <w:t>sam analysieren</w:t>
      </w:r>
      <w:r w:rsidR="009E6B35" w:rsidRPr="000E5A31">
        <w:rPr>
          <w:rFonts w:cs="Arial"/>
          <w:szCs w:val="22"/>
        </w:rPr>
        <w:t xml:space="preserve"> und bewerten</w:t>
      </w:r>
      <w:r w:rsidRPr="000E5A31">
        <w:rPr>
          <w:rFonts w:cs="Arial"/>
          <w:szCs w:val="22"/>
        </w:rPr>
        <w:t>. In diesem Rahmen werden in einem weiteren Schritt pilotha</w:t>
      </w:r>
      <w:r w:rsidRPr="000E5A31">
        <w:rPr>
          <w:rFonts w:cs="Arial"/>
          <w:szCs w:val="22"/>
        </w:rPr>
        <w:t>f</w:t>
      </w:r>
      <w:r w:rsidRPr="000E5A31">
        <w:rPr>
          <w:rFonts w:cs="Arial"/>
          <w:szCs w:val="22"/>
        </w:rPr>
        <w:t xml:space="preserve">te </w:t>
      </w:r>
      <w:r w:rsidR="000770E1" w:rsidRPr="000E5A31">
        <w:rPr>
          <w:rFonts w:cs="Arial"/>
          <w:szCs w:val="22"/>
        </w:rPr>
        <w:t>Förder</w:t>
      </w:r>
      <w:r w:rsidRPr="000E5A31">
        <w:rPr>
          <w:rFonts w:cs="Arial"/>
          <w:szCs w:val="22"/>
        </w:rPr>
        <w:t>maßnahmen identifiziert, die dann auf nationaler Ebene umgesetzt werden. Gleic</w:t>
      </w:r>
      <w:r w:rsidRPr="000E5A31">
        <w:rPr>
          <w:rFonts w:cs="Arial"/>
          <w:szCs w:val="22"/>
        </w:rPr>
        <w:t>h</w:t>
      </w:r>
      <w:r w:rsidRPr="000E5A31">
        <w:rPr>
          <w:rFonts w:cs="Arial"/>
          <w:szCs w:val="22"/>
        </w:rPr>
        <w:t>zeitig wird die Qualitätsinfrastruktur verbessert, zum einen über Qualitätssysteme für Produ</w:t>
      </w:r>
      <w:r w:rsidRPr="000E5A31">
        <w:rPr>
          <w:rFonts w:cs="Arial"/>
          <w:szCs w:val="22"/>
        </w:rPr>
        <w:t>k</w:t>
      </w:r>
      <w:r w:rsidRPr="000E5A31">
        <w:rPr>
          <w:rFonts w:cs="Arial"/>
          <w:szCs w:val="22"/>
        </w:rPr>
        <w:t xml:space="preserve">te </w:t>
      </w:r>
      <w:r w:rsidR="000770E1" w:rsidRPr="000E5A31">
        <w:rPr>
          <w:rFonts w:cs="Arial"/>
          <w:szCs w:val="22"/>
        </w:rPr>
        <w:t>und Dienstleistungen</w:t>
      </w:r>
      <w:r w:rsidRPr="000E5A31">
        <w:rPr>
          <w:rFonts w:cs="Arial"/>
          <w:szCs w:val="22"/>
        </w:rPr>
        <w:t>, und zum anderen über Qualifizierungsmaßnahmen, z.B. von Han</w:t>
      </w:r>
      <w:r w:rsidRPr="000E5A31">
        <w:rPr>
          <w:rFonts w:cs="Arial"/>
          <w:szCs w:val="22"/>
        </w:rPr>
        <w:t>d</w:t>
      </w:r>
      <w:r w:rsidRPr="000E5A31">
        <w:rPr>
          <w:rFonts w:cs="Arial"/>
          <w:szCs w:val="22"/>
        </w:rPr>
        <w:t>werkern. Gute Beispiele werden wieder in den regionalen Austausch eingespeist.</w:t>
      </w:r>
    </w:p>
    <w:p w:rsidR="00C83A2F" w:rsidRPr="000E5A31" w:rsidRDefault="00C83A2F" w:rsidP="00C83A2F">
      <w:pPr>
        <w:autoSpaceDE w:val="0"/>
        <w:autoSpaceDN w:val="0"/>
        <w:adjustRightInd w:val="0"/>
        <w:spacing w:after="120"/>
        <w:rPr>
          <w:rFonts w:cs="Arial"/>
          <w:szCs w:val="22"/>
        </w:rPr>
      </w:pPr>
      <w:r w:rsidRPr="000E5A31">
        <w:rPr>
          <w:rFonts w:cs="Arial"/>
          <w:szCs w:val="22"/>
        </w:rPr>
        <w:t xml:space="preserve">Ergänzend zum Dialog </w:t>
      </w:r>
      <w:r w:rsidR="000770E1" w:rsidRPr="000E5A31">
        <w:rPr>
          <w:rFonts w:cs="Arial"/>
          <w:szCs w:val="22"/>
        </w:rPr>
        <w:t>mit den Partnern</w:t>
      </w:r>
      <w:r w:rsidRPr="000E5A31">
        <w:rPr>
          <w:rFonts w:cs="Arial"/>
          <w:szCs w:val="22"/>
        </w:rPr>
        <w:t xml:space="preserve"> w</w:t>
      </w:r>
      <w:r w:rsidR="009E6B35" w:rsidRPr="000E5A31">
        <w:rPr>
          <w:rFonts w:cs="Arial"/>
          <w:szCs w:val="22"/>
        </w:rPr>
        <w:t>u</w:t>
      </w:r>
      <w:r w:rsidRPr="000E5A31">
        <w:rPr>
          <w:rFonts w:cs="Arial"/>
          <w:szCs w:val="22"/>
        </w:rPr>
        <w:t>rd</w:t>
      </w:r>
      <w:r w:rsidR="009E6B35" w:rsidRPr="000E5A31">
        <w:rPr>
          <w:rFonts w:cs="Arial"/>
          <w:szCs w:val="22"/>
        </w:rPr>
        <w:t>e</w:t>
      </w:r>
      <w:r w:rsidRPr="000E5A31">
        <w:rPr>
          <w:rFonts w:cs="Arial"/>
          <w:szCs w:val="22"/>
        </w:rPr>
        <w:t xml:space="preserve"> </w:t>
      </w:r>
      <w:r w:rsidR="009E6B35" w:rsidRPr="000E5A31">
        <w:rPr>
          <w:rFonts w:cs="Arial"/>
          <w:szCs w:val="22"/>
        </w:rPr>
        <w:t xml:space="preserve">in einer Anfangsphase </w:t>
      </w:r>
      <w:r w:rsidRPr="000E5A31">
        <w:rPr>
          <w:rFonts w:cs="Arial"/>
          <w:szCs w:val="22"/>
        </w:rPr>
        <w:t>das BMZ dabei unte</w:t>
      </w:r>
      <w:r w:rsidRPr="000E5A31">
        <w:rPr>
          <w:rFonts w:cs="Arial"/>
          <w:szCs w:val="22"/>
        </w:rPr>
        <w:t>r</w:t>
      </w:r>
      <w:r w:rsidRPr="000E5A31">
        <w:rPr>
          <w:rFonts w:cs="Arial"/>
          <w:szCs w:val="22"/>
        </w:rPr>
        <w:t>stützt, die so gewonnenen Erkenntnisse und Erfahrungen auszuwerten und in den Dialog zwischen der Bundesrepublik Deutschland und den Staaten der MENA-Region zur Förd</w:t>
      </w:r>
      <w:r w:rsidRPr="000E5A31">
        <w:rPr>
          <w:rFonts w:cs="Arial"/>
          <w:szCs w:val="22"/>
        </w:rPr>
        <w:t>e</w:t>
      </w:r>
      <w:r w:rsidRPr="000E5A31">
        <w:rPr>
          <w:rFonts w:cs="Arial"/>
          <w:szCs w:val="22"/>
        </w:rPr>
        <w:t>rung von erneuerbaren Energien und Energieeffizienz einzubringen.</w:t>
      </w:r>
      <w:r w:rsidR="009E6B35" w:rsidRPr="000E5A31">
        <w:rPr>
          <w:rFonts w:cs="Arial"/>
          <w:szCs w:val="22"/>
        </w:rPr>
        <w:t xml:space="preserve"> Diese Komponente des Vorhabens wird auf Wunsch des BMZ nicht länger fortgeführt.</w:t>
      </w:r>
    </w:p>
    <w:p w:rsidR="00C83A2F" w:rsidRPr="000E5A31" w:rsidRDefault="00C83A2F" w:rsidP="00C83A2F">
      <w:pPr>
        <w:autoSpaceDE w:val="0"/>
        <w:autoSpaceDN w:val="0"/>
        <w:adjustRightInd w:val="0"/>
        <w:spacing w:after="120"/>
        <w:rPr>
          <w:rFonts w:cs="Arial"/>
          <w:szCs w:val="22"/>
        </w:rPr>
      </w:pPr>
      <w:r w:rsidRPr="000E5A31">
        <w:rPr>
          <w:rFonts w:cs="Arial"/>
          <w:szCs w:val="22"/>
        </w:rPr>
        <w:t xml:space="preserve">Das Vorhaben hat eine </w:t>
      </w:r>
      <w:r w:rsidR="009E6B35" w:rsidRPr="000E5A31">
        <w:rPr>
          <w:rFonts w:cs="Arial"/>
          <w:szCs w:val="22"/>
        </w:rPr>
        <w:t>Gesamtl</w:t>
      </w:r>
      <w:r w:rsidRPr="000E5A31">
        <w:rPr>
          <w:rFonts w:cs="Arial"/>
          <w:szCs w:val="22"/>
        </w:rPr>
        <w:t>aufzeit von 4 Jahren und einem Monat (12/2013-12/2017) mit Kosten von bis zu 5.000.000 EUR.</w:t>
      </w:r>
    </w:p>
    <w:p w:rsidR="00C83A2F" w:rsidRPr="000E5A31" w:rsidRDefault="00C83A2F">
      <w:pPr>
        <w:spacing w:line="240" w:lineRule="auto"/>
        <w:rPr>
          <w:rFonts w:cs="Arial"/>
          <w:szCs w:val="22"/>
        </w:rPr>
      </w:pPr>
      <w:r w:rsidRPr="000E5A31">
        <w:rPr>
          <w:rFonts w:cs="Arial"/>
          <w:szCs w:val="22"/>
        </w:rPr>
        <w:br w:type="page"/>
      </w:r>
    </w:p>
    <w:p w:rsidR="00415D96" w:rsidRPr="000E5A31" w:rsidRDefault="00415D96" w:rsidP="0012743D">
      <w:pPr>
        <w:pStyle w:val="berschrift1"/>
      </w:pPr>
      <w:bookmarkStart w:id="2" w:name="_Toc396989030"/>
      <w:r w:rsidRPr="000E5A31">
        <w:lastRenderedPageBreak/>
        <w:t>A</w:t>
      </w:r>
      <w:r w:rsidR="0088567D" w:rsidRPr="000E5A31">
        <w:t>.</w:t>
      </w:r>
      <w:r w:rsidRPr="000E5A31">
        <w:t>2.</w:t>
      </w:r>
      <w:r w:rsidRPr="000E5A31">
        <w:tab/>
        <w:t>Entwicklungen im Schwerpunkt</w:t>
      </w:r>
      <w:bookmarkEnd w:id="2"/>
    </w:p>
    <w:p w:rsidR="00EB367A" w:rsidRPr="000E5A31" w:rsidRDefault="00EB367A" w:rsidP="00EB367A"/>
    <w:p w:rsidR="00415D96" w:rsidRPr="000E5A31" w:rsidRDefault="0088567D" w:rsidP="008919E6">
      <w:pPr>
        <w:pStyle w:val="berschrift2"/>
        <w:spacing w:before="0"/>
        <w:rPr>
          <w:b/>
          <w:i/>
        </w:rPr>
      </w:pPr>
      <w:bookmarkStart w:id="3" w:name="_Toc396989031"/>
      <w:r w:rsidRPr="000E5A31">
        <w:rPr>
          <w:b/>
          <w:i/>
        </w:rPr>
        <w:t>A.</w:t>
      </w:r>
      <w:r w:rsidR="00415D96" w:rsidRPr="000E5A31">
        <w:rPr>
          <w:b/>
          <w:i/>
        </w:rPr>
        <w:t>2.1</w:t>
      </w:r>
      <w:r w:rsidR="00415D96" w:rsidRPr="000E5A31">
        <w:rPr>
          <w:b/>
          <w:i/>
        </w:rPr>
        <w:tab/>
        <w:t xml:space="preserve">Entwicklungen bei Zielen und Strategien des </w:t>
      </w:r>
      <w:r w:rsidRPr="000E5A31">
        <w:rPr>
          <w:b/>
          <w:i/>
        </w:rPr>
        <w:t>Kooperations</w:t>
      </w:r>
      <w:r w:rsidR="00415D96" w:rsidRPr="000E5A31">
        <w:rPr>
          <w:b/>
          <w:i/>
        </w:rPr>
        <w:t>landes</w:t>
      </w:r>
      <w:bookmarkEnd w:id="3"/>
    </w:p>
    <w:p w:rsidR="004E1CD9" w:rsidRPr="000E5A31" w:rsidRDefault="004E1CD9" w:rsidP="008919E6">
      <w:pPr>
        <w:spacing w:after="120"/>
        <w:jc w:val="both"/>
        <w:rPr>
          <w:rFonts w:eastAsiaTheme="minorHAnsi" w:cs="Arial"/>
          <w:b/>
          <w:szCs w:val="22"/>
          <w:lang w:eastAsia="en-US"/>
        </w:rPr>
      </w:pPr>
    </w:p>
    <w:p w:rsidR="004E1CD9" w:rsidRPr="000E5A31" w:rsidRDefault="004E1CD9" w:rsidP="008919E6">
      <w:pPr>
        <w:autoSpaceDE w:val="0"/>
        <w:autoSpaceDN w:val="0"/>
        <w:adjustRightInd w:val="0"/>
        <w:spacing w:after="120"/>
        <w:jc w:val="both"/>
        <w:rPr>
          <w:rFonts w:eastAsiaTheme="minorHAnsi" w:cs="Arial"/>
          <w:szCs w:val="22"/>
          <w:lang w:eastAsia="en-US"/>
        </w:rPr>
      </w:pPr>
      <w:r w:rsidRPr="000E5A31">
        <w:rPr>
          <w:rFonts w:eastAsiaTheme="minorHAnsi" w:cs="Arial"/>
          <w:szCs w:val="22"/>
          <w:lang w:eastAsia="en-US"/>
        </w:rPr>
        <w:t>D</w:t>
      </w:r>
      <w:r w:rsidR="0017014C" w:rsidRPr="000E5A31">
        <w:rPr>
          <w:rFonts w:eastAsiaTheme="minorHAnsi" w:cs="Arial"/>
          <w:szCs w:val="22"/>
          <w:lang w:eastAsia="en-US"/>
        </w:rPr>
        <w:t>er Energie- und v.a. der Stromverbrauch der</w:t>
      </w:r>
      <w:r w:rsidRPr="000E5A31">
        <w:rPr>
          <w:rFonts w:eastAsiaTheme="minorHAnsi" w:cs="Arial"/>
          <w:szCs w:val="22"/>
          <w:lang w:eastAsia="en-US"/>
        </w:rPr>
        <w:t xml:space="preserve"> MENA-Region </w:t>
      </w:r>
      <w:r w:rsidR="004712B5" w:rsidRPr="000E5A31">
        <w:rPr>
          <w:rFonts w:eastAsiaTheme="minorHAnsi" w:cs="Arial"/>
          <w:szCs w:val="22"/>
          <w:lang w:eastAsia="en-US"/>
        </w:rPr>
        <w:t xml:space="preserve">nimmt </w:t>
      </w:r>
      <w:r w:rsidR="0017014C" w:rsidRPr="000E5A31">
        <w:rPr>
          <w:rFonts w:eastAsiaTheme="minorHAnsi" w:cs="Arial"/>
          <w:szCs w:val="22"/>
          <w:lang w:eastAsia="en-US"/>
        </w:rPr>
        <w:t xml:space="preserve">weiter rapide </w:t>
      </w:r>
      <w:r w:rsidR="004712B5" w:rsidRPr="000E5A31">
        <w:rPr>
          <w:rFonts w:eastAsiaTheme="minorHAnsi" w:cs="Arial"/>
          <w:szCs w:val="22"/>
          <w:lang w:eastAsia="en-US"/>
        </w:rPr>
        <w:t>zu</w:t>
      </w:r>
      <w:r w:rsidR="0017014C" w:rsidRPr="000E5A31">
        <w:rPr>
          <w:rFonts w:eastAsiaTheme="minorHAnsi" w:cs="Arial"/>
          <w:szCs w:val="22"/>
          <w:lang w:eastAsia="en-US"/>
        </w:rPr>
        <w:t xml:space="preserve">, mit jährlichen Wachstumsraten von </w:t>
      </w:r>
      <w:r w:rsidR="000770E1" w:rsidRPr="000E5A31">
        <w:rPr>
          <w:rFonts w:eastAsiaTheme="minorHAnsi" w:cs="Arial"/>
          <w:szCs w:val="22"/>
          <w:lang w:eastAsia="en-US"/>
        </w:rPr>
        <w:t>4</w:t>
      </w:r>
      <w:r w:rsidR="0017014C" w:rsidRPr="000E5A31">
        <w:rPr>
          <w:rFonts w:eastAsiaTheme="minorHAnsi" w:cs="Arial"/>
          <w:szCs w:val="22"/>
          <w:lang w:eastAsia="en-US"/>
        </w:rPr>
        <w:t xml:space="preserve">-8%. </w:t>
      </w:r>
      <w:r w:rsidRPr="000E5A31">
        <w:rPr>
          <w:rFonts w:eastAsiaTheme="minorHAnsi" w:cs="Arial"/>
          <w:szCs w:val="22"/>
          <w:lang w:eastAsia="en-US"/>
        </w:rPr>
        <w:t>Das Bruttosozialprodukt w</w:t>
      </w:r>
      <w:r w:rsidR="0017014C" w:rsidRPr="000E5A31">
        <w:rPr>
          <w:rFonts w:eastAsiaTheme="minorHAnsi" w:cs="Arial"/>
          <w:szCs w:val="22"/>
          <w:lang w:eastAsia="en-US"/>
        </w:rPr>
        <w:t>ä</w:t>
      </w:r>
      <w:r w:rsidRPr="000E5A31">
        <w:rPr>
          <w:rFonts w:eastAsiaTheme="minorHAnsi" w:cs="Arial"/>
          <w:szCs w:val="22"/>
          <w:lang w:eastAsia="en-US"/>
        </w:rPr>
        <w:t>chs</w:t>
      </w:r>
      <w:r w:rsidR="0017014C" w:rsidRPr="000E5A31">
        <w:rPr>
          <w:rFonts w:eastAsiaTheme="minorHAnsi" w:cs="Arial"/>
          <w:szCs w:val="22"/>
          <w:lang w:eastAsia="en-US"/>
        </w:rPr>
        <w:t>t</w:t>
      </w:r>
      <w:r w:rsidRPr="000E5A31">
        <w:rPr>
          <w:rFonts w:eastAsiaTheme="minorHAnsi" w:cs="Arial"/>
          <w:szCs w:val="22"/>
          <w:lang w:eastAsia="en-US"/>
        </w:rPr>
        <w:t xml:space="preserve"> </w:t>
      </w:r>
      <w:r w:rsidR="0096777C" w:rsidRPr="000E5A31">
        <w:rPr>
          <w:rFonts w:eastAsiaTheme="minorHAnsi" w:cs="Arial"/>
          <w:szCs w:val="22"/>
          <w:lang w:eastAsia="en-US"/>
        </w:rPr>
        <w:t>dagegen</w:t>
      </w:r>
      <w:r w:rsidR="0017014C" w:rsidRPr="000E5A31">
        <w:rPr>
          <w:rFonts w:eastAsiaTheme="minorHAnsi" w:cs="Arial"/>
          <w:szCs w:val="22"/>
          <w:lang w:eastAsia="en-US"/>
        </w:rPr>
        <w:t xml:space="preserve"> weit </w:t>
      </w:r>
      <w:r w:rsidR="00DE66DC" w:rsidRPr="000E5A31">
        <w:rPr>
          <w:rFonts w:eastAsiaTheme="minorHAnsi" w:cs="Arial"/>
          <w:szCs w:val="22"/>
          <w:lang w:eastAsia="en-US"/>
        </w:rPr>
        <w:t>weniger</w:t>
      </w:r>
      <w:r w:rsidRPr="000E5A31">
        <w:rPr>
          <w:rFonts w:eastAsiaTheme="minorHAnsi" w:cs="Arial"/>
          <w:szCs w:val="22"/>
          <w:lang w:eastAsia="en-US"/>
        </w:rPr>
        <w:t xml:space="preserve"> schnell, d.h. es f</w:t>
      </w:r>
      <w:r w:rsidR="0017014C" w:rsidRPr="000E5A31">
        <w:rPr>
          <w:rFonts w:eastAsiaTheme="minorHAnsi" w:cs="Arial"/>
          <w:szCs w:val="22"/>
          <w:lang w:eastAsia="en-US"/>
        </w:rPr>
        <w:t>indet (mit Ausnahme Israels und Tunesiens) bislang</w:t>
      </w:r>
      <w:r w:rsidRPr="000E5A31">
        <w:rPr>
          <w:rFonts w:eastAsiaTheme="minorHAnsi" w:cs="Arial"/>
          <w:szCs w:val="22"/>
          <w:lang w:eastAsia="en-US"/>
        </w:rPr>
        <w:t xml:space="preserve"> keine Entkopplung </w:t>
      </w:r>
      <w:r w:rsidR="0017014C" w:rsidRPr="000E5A31">
        <w:rPr>
          <w:rFonts w:eastAsiaTheme="minorHAnsi" w:cs="Arial"/>
          <w:szCs w:val="22"/>
          <w:lang w:eastAsia="en-US"/>
        </w:rPr>
        <w:t xml:space="preserve">von </w:t>
      </w:r>
      <w:r w:rsidRPr="000E5A31">
        <w:rPr>
          <w:rFonts w:eastAsiaTheme="minorHAnsi" w:cs="Arial"/>
          <w:szCs w:val="22"/>
          <w:lang w:eastAsia="en-US"/>
        </w:rPr>
        <w:t>Energieverbrauch und Wirtschafts</w:t>
      </w:r>
      <w:r w:rsidR="000770E1" w:rsidRPr="000E5A31">
        <w:rPr>
          <w:rFonts w:eastAsiaTheme="minorHAnsi" w:cs="Arial"/>
          <w:szCs w:val="22"/>
          <w:lang w:eastAsia="en-US"/>
        </w:rPr>
        <w:t>entwicklung</w:t>
      </w:r>
      <w:r w:rsidRPr="000E5A31">
        <w:rPr>
          <w:rFonts w:eastAsiaTheme="minorHAnsi" w:cs="Arial"/>
          <w:szCs w:val="22"/>
          <w:lang w:eastAsia="en-US"/>
        </w:rPr>
        <w:t xml:space="preserve"> statt. </w:t>
      </w:r>
      <w:r w:rsidR="00D72D3A" w:rsidRPr="000E5A31">
        <w:rPr>
          <w:rFonts w:eastAsiaTheme="minorHAnsi" w:cs="Arial"/>
          <w:szCs w:val="22"/>
          <w:lang w:eastAsia="en-US"/>
        </w:rPr>
        <w:t>Dies bedeutet, dass sich die Energieeff</w:t>
      </w:r>
      <w:r w:rsidR="00D72D3A" w:rsidRPr="000E5A31">
        <w:rPr>
          <w:rFonts w:eastAsiaTheme="minorHAnsi" w:cs="Arial"/>
          <w:szCs w:val="22"/>
          <w:lang w:eastAsia="en-US"/>
        </w:rPr>
        <w:t>i</w:t>
      </w:r>
      <w:r w:rsidR="000770E1" w:rsidRPr="000E5A31">
        <w:rPr>
          <w:rFonts w:eastAsiaTheme="minorHAnsi" w:cs="Arial"/>
          <w:szCs w:val="22"/>
          <w:lang w:eastAsia="en-US"/>
        </w:rPr>
        <w:t>zi</w:t>
      </w:r>
      <w:r w:rsidR="00D72D3A" w:rsidRPr="000E5A31">
        <w:rPr>
          <w:rFonts w:eastAsiaTheme="minorHAnsi" w:cs="Arial"/>
          <w:szCs w:val="22"/>
          <w:lang w:eastAsia="en-US"/>
        </w:rPr>
        <w:t>e</w:t>
      </w:r>
      <w:r w:rsidR="000770E1" w:rsidRPr="000E5A31">
        <w:rPr>
          <w:rFonts w:eastAsiaTheme="minorHAnsi" w:cs="Arial"/>
          <w:szCs w:val="22"/>
          <w:lang w:eastAsia="en-US"/>
        </w:rPr>
        <w:t>n</w:t>
      </w:r>
      <w:r w:rsidR="00D72D3A" w:rsidRPr="000E5A31">
        <w:rPr>
          <w:rFonts w:eastAsiaTheme="minorHAnsi" w:cs="Arial"/>
          <w:szCs w:val="22"/>
          <w:lang w:eastAsia="en-US"/>
        </w:rPr>
        <w:t xml:space="preserve">z weiter verschlechtert hat. </w:t>
      </w:r>
      <w:r w:rsidRPr="000E5A31">
        <w:rPr>
          <w:rFonts w:eastAsiaTheme="minorHAnsi" w:cs="Arial"/>
          <w:szCs w:val="22"/>
          <w:lang w:eastAsia="en-US"/>
        </w:rPr>
        <w:t>Auch für die kommenden Jahre wird ein über dem globalen Durchschnitt liegen</w:t>
      </w:r>
      <w:r w:rsidR="000770E1" w:rsidRPr="000E5A31">
        <w:rPr>
          <w:rFonts w:eastAsiaTheme="minorHAnsi" w:cs="Arial"/>
          <w:szCs w:val="22"/>
          <w:lang w:eastAsia="en-US"/>
        </w:rPr>
        <w:t>der</w:t>
      </w:r>
      <w:r w:rsidRPr="000E5A31">
        <w:rPr>
          <w:rFonts w:eastAsiaTheme="minorHAnsi" w:cs="Arial"/>
          <w:szCs w:val="22"/>
          <w:lang w:eastAsia="en-US"/>
        </w:rPr>
        <w:t xml:space="preserve"> </w:t>
      </w:r>
      <w:r w:rsidR="000770E1" w:rsidRPr="000E5A31">
        <w:rPr>
          <w:rFonts w:eastAsiaTheme="minorHAnsi" w:cs="Arial"/>
          <w:szCs w:val="22"/>
          <w:lang w:eastAsia="en-US"/>
        </w:rPr>
        <w:t>Zuw</w:t>
      </w:r>
      <w:r w:rsidRPr="000E5A31">
        <w:rPr>
          <w:rFonts w:eastAsiaTheme="minorHAnsi" w:cs="Arial"/>
          <w:szCs w:val="22"/>
          <w:lang w:eastAsia="en-US"/>
        </w:rPr>
        <w:t>achs des Energieverbrauchs erwartet.</w:t>
      </w:r>
    </w:p>
    <w:p w:rsidR="004E1CD9" w:rsidRPr="000E5A31" w:rsidRDefault="004712B5" w:rsidP="008919E6">
      <w:pPr>
        <w:autoSpaceDE w:val="0"/>
        <w:autoSpaceDN w:val="0"/>
        <w:adjustRightInd w:val="0"/>
        <w:spacing w:after="120"/>
        <w:jc w:val="both"/>
        <w:rPr>
          <w:rFonts w:eastAsiaTheme="minorHAnsi" w:cs="Arial"/>
          <w:szCs w:val="22"/>
          <w:lang w:eastAsia="en-US"/>
        </w:rPr>
      </w:pPr>
      <w:r w:rsidRPr="000E5A31">
        <w:rPr>
          <w:rFonts w:eastAsiaTheme="minorHAnsi" w:cs="Arial"/>
          <w:szCs w:val="22"/>
          <w:lang w:eastAsia="en-US"/>
        </w:rPr>
        <w:t xml:space="preserve">In den </w:t>
      </w:r>
      <w:r w:rsidR="00EB1453" w:rsidRPr="000E5A31">
        <w:rPr>
          <w:rFonts w:eastAsiaTheme="minorHAnsi" w:cs="Arial"/>
          <w:szCs w:val="22"/>
          <w:lang w:eastAsia="en-US"/>
        </w:rPr>
        <w:t>letzt</w:t>
      </w:r>
      <w:r w:rsidRPr="000E5A31">
        <w:rPr>
          <w:rFonts w:eastAsiaTheme="minorHAnsi" w:cs="Arial"/>
          <w:szCs w:val="22"/>
          <w:lang w:eastAsia="en-US"/>
        </w:rPr>
        <w:t xml:space="preserve">en Jahren wuchs die </w:t>
      </w:r>
      <w:r w:rsidR="000770E1" w:rsidRPr="000E5A31">
        <w:rPr>
          <w:rFonts w:eastAsiaTheme="minorHAnsi" w:cs="Arial"/>
          <w:szCs w:val="22"/>
          <w:lang w:eastAsia="en-US"/>
        </w:rPr>
        <w:t xml:space="preserve">installierte </w:t>
      </w:r>
      <w:r w:rsidR="004E220B" w:rsidRPr="000E5A31">
        <w:rPr>
          <w:rFonts w:eastAsiaTheme="minorHAnsi" w:cs="Arial"/>
          <w:szCs w:val="22"/>
          <w:lang w:eastAsia="en-US"/>
        </w:rPr>
        <w:t>K</w:t>
      </w:r>
      <w:r w:rsidRPr="000E5A31">
        <w:rPr>
          <w:rFonts w:eastAsiaTheme="minorHAnsi" w:cs="Arial"/>
          <w:szCs w:val="22"/>
          <w:lang w:eastAsia="en-US"/>
        </w:rPr>
        <w:t>ap</w:t>
      </w:r>
      <w:r w:rsidR="00BA6E62" w:rsidRPr="000E5A31">
        <w:rPr>
          <w:rFonts w:eastAsiaTheme="minorHAnsi" w:cs="Arial"/>
          <w:szCs w:val="22"/>
          <w:lang w:eastAsia="en-US"/>
        </w:rPr>
        <w:t>a</w:t>
      </w:r>
      <w:r w:rsidRPr="000E5A31">
        <w:rPr>
          <w:rFonts w:eastAsiaTheme="minorHAnsi" w:cs="Arial"/>
          <w:szCs w:val="22"/>
          <w:lang w:eastAsia="en-US"/>
        </w:rPr>
        <w:t xml:space="preserve">zität aus </w:t>
      </w:r>
      <w:r w:rsidR="00FC0BB3">
        <w:rPr>
          <w:rFonts w:eastAsiaTheme="minorHAnsi" w:cs="Arial"/>
          <w:szCs w:val="22"/>
          <w:lang w:eastAsia="en-US"/>
        </w:rPr>
        <w:t>e</w:t>
      </w:r>
      <w:r w:rsidRPr="000E5A31">
        <w:rPr>
          <w:rFonts w:eastAsiaTheme="minorHAnsi" w:cs="Arial"/>
          <w:szCs w:val="22"/>
          <w:lang w:eastAsia="en-US"/>
        </w:rPr>
        <w:t xml:space="preserve">rneuerbaren Energien rasch an. </w:t>
      </w:r>
      <w:r w:rsidR="004E1CD9" w:rsidRPr="000E5A31">
        <w:rPr>
          <w:rFonts w:eastAsiaTheme="minorHAnsi" w:cs="Arial"/>
          <w:szCs w:val="22"/>
          <w:lang w:eastAsia="en-US"/>
        </w:rPr>
        <w:t>Ende 201</w:t>
      </w:r>
      <w:r w:rsidR="007417BD" w:rsidRPr="000E5A31">
        <w:rPr>
          <w:rFonts w:eastAsiaTheme="minorHAnsi" w:cs="Arial"/>
          <w:szCs w:val="22"/>
          <w:lang w:eastAsia="en-US"/>
        </w:rPr>
        <w:t>4</w:t>
      </w:r>
      <w:r w:rsidR="004E1CD9" w:rsidRPr="000E5A31">
        <w:rPr>
          <w:rFonts w:eastAsiaTheme="minorHAnsi" w:cs="Arial"/>
          <w:szCs w:val="22"/>
          <w:lang w:eastAsia="en-US"/>
        </w:rPr>
        <w:t xml:space="preserve"> waren in der MENA-Region </w:t>
      </w:r>
      <w:r w:rsidR="007417BD" w:rsidRPr="000E5A31">
        <w:rPr>
          <w:rFonts w:eastAsiaTheme="minorHAnsi" w:cs="Arial"/>
          <w:szCs w:val="22"/>
          <w:lang w:eastAsia="en-US"/>
        </w:rPr>
        <w:t>fast 1,5</w:t>
      </w:r>
      <w:r w:rsidR="004E1CD9" w:rsidRPr="000E5A31">
        <w:rPr>
          <w:rFonts w:eastAsiaTheme="minorHAnsi" w:cs="Arial"/>
          <w:szCs w:val="22"/>
          <w:lang w:eastAsia="en-US"/>
        </w:rPr>
        <w:t xml:space="preserve"> GW an Windkraft installiert, </w:t>
      </w:r>
      <w:r w:rsidR="004E220B" w:rsidRPr="000E5A31">
        <w:rPr>
          <w:rFonts w:eastAsiaTheme="minorHAnsi" w:cs="Arial"/>
          <w:szCs w:val="22"/>
          <w:lang w:eastAsia="en-US"/>
        </w:rPr>
        <w:t xml:space="preserve">v.a. in </w:t>
      </w:r>
      <w:r w:rsidR="007417BD" w:rsidRPr="000E5A31">
        <w:rPr>
          <w:rFonts w:eastAsiaTheme="minorHAnsi" w:cs="Arial"/>
          <w:szCs w:val="22"/>
          <w:lang w:eastAsia="en-US"/>
        </w:rPr>
        <w:t>Marokko</w:t>
      </w:r>
      <w:r w:rsidR="004E220B" w:rsidRPr="000E5A31">
        <w:rPr>
          <w:rFonts w:eastAsiaTheme="minorHAnsi" w:cs="Arial"/>
          <w:szCs w:val="22"/>
          <w:lang w:eastAsia="en-US"/>
        </w:rPr>
        <w:t xml:space="preserve">, </w:t>
      </w:r>
      <w:r w:rsidR="007417BD" w:rsidRPr="000E5A31">
        <w:rPr>
          <w:rFonts w:eastAsiaTheme="minorHAnsi" w:cs="Arial"/>
          <w:szCs w:val="22"/>
          <w:lang w:eastAsia="en-US"/>
        </w:rPr>
        <w:t>Ä</w:t>
      </w:r>
      <w:r w:rsidR="004E1CD9" w:rsidRPr="000E5A31">
        <w:rPr>
          <w:rFonts w:eastAsiaTheme="minorHAnsi" w:cs="Arial"/>
          <w:szCs w:val="22"/>
          <w:lang w:eastAsia="en-US"/>
        </w:rPr>
        <w:t xml:space="preserve">gypten </w:t>
      </w:r>
      <w:r w:rsidR="004E220B" w:rsidRPr="000E5A31">
        <w:rPr>
          <w:rFonts w:eastAsiaTheme="minorHAnsi" w:cs="Arial"/>
          <w:szCs w:val="22"/>
          <w:lang w:eastAsia="en-US"/>
        </w:rPr>
        <w:t>u</w:t>
      </w:r>
      <w:r w:rsidR="004E1CD9" w:rsidRPr="000E5A31">
        <w:rPr>
          <w:rFonts w:eastAsiaTheme="minorHAnsi" w:cs="Arial"/>
          <w:szCs w:val="22"/>
          <w:lang w:eastAsia="en-US"/>
        </w:rPr>
        <w:t xml:space="preserve">nd Tunesien. </w:t>
      </w:r>
      <w:r w:rsidR="00BA6E62" w:rsidRPr="000E5A31">
        <w:rPr>
          <w:rFonts w:eastAsiaTheme="minorHAnsi" w:cs="Arial"/>
          <w:szCs w:val="22"/>
          <w:lang w:eastAsia="en-US"/>
        </w:rPr>
        <w:t xml:space="preserve">Auch die Nutzung von Photovoltaik (PV) entwickelt sich, </w:t>
      </w:r>
      <w:r w:rsidR="000770E1" w:rsidRPr="000E5A31">
        <w:rPr>
          <w:rFonts w:eastAsiaTheme="minorHAnsi" w:cs="Arial"/>
          <w:szCs w:val="22"/>
          <w:lang w:eastAsia="en-US"/>
        </w:rPr>
        <w:t>wenn auch mit großer Verzögerung und von einem niedrigen Niveau aus</w:t>
      </w:r>
      <w:r w:rsidR="004E1CD9" w:rsidRPr="000E5A31">
        <w:rPr>
          <w:rFonts w:eastAsiaTheme="minorHAnsi" w:cs="Arial"/>
          <w:szCs w:val="22"/>
          <w:lang w:eastAsia="en-US"/>
        </w:rPr>
        <w:t>.</w:t>
      </w:r>
      <w:r w:rsidRPr="000E5A31">
        <w:rPr>
          <w:rFonts w:eastAsiaTheme="minorHAnsi" w:cs="Arial"/>
          <w:szCs w:val="22"/>
          <w:lang w:eastAsia="en-US"/>
        </w:rPr>
        <w:t xml:space="preserve"> </w:t>
      </w:r>
      <w:r w:rsidR="004E1CD9" w:rsidRPr="000E5A31">
        <w:rPr>
          <w:rFonts w:eastAsiaTheme="minorHAnsi" w:cs="Arial"/>
          <w:szCs w:val="22"/>
          <w:lang w:eastAsia="en-US"/>
        </w:rPr>
        <w:t>Solarthermische Kraftwer</w:t>
      </w:r>
      <w:r w:rsidR="00BA6E62" w:rsidRPr="000E5A31">
        <w:rPr>
          <w:rFonts w:eastAsiaTheme="minorHAnsi" w:cs="Arial"/>
          <w:szCs w:val="22"/>
          <w:lang w:eastAsia="en-US"/>
        </w:rPr>
        <w:t xml:space="preserve">ke </w:t>
      </w:r>
      <w:r w:rsidR="004E1CD9" w:rsidRPr="000E5A31">
        <w:rPr>
          <w:rFonts w:eastAsiaTheme="minorHAnsi" w:cs="Arial"/>
          <w:szCs w:val="22"/>
          <w:lang w:eastAsia="en-US"/>
        </w:rPr>
        <w:t>w</w:t>
      </w:r>
      <w:r w:rsidRPr="000E5A31">
        <w:rPr>
          <w:rFonts w:eastAsiaTheme="minorHAnsi" w:cs="Arial"/>
          <w:szCs w:val="22"/>
          <w:lang w:eastAsia="en-US"/>
        </w:rPr>
        <w:t>e</w:t>
      </w:r>
      <w:r w:rsidR="004E1CD9" w:rsidRPr="000E5A31">
        <w:rPr>
          <w:rFonts w:eastAsiaTheme="minorHAnsi" w:cs="Arial"/>
          <w:szCs w:val="22"/>
          <w:lang w:eastAsia="en-US"/>
        </w:rPr>
        <w:t xml:space="preserve">rden </w:t>
      </w:r>
      <w:r w:rsidRPr="000E5A31">
        <w:rPr>
          <w:rFonts w:eastAsiaTheme="minorHAnsi" w:cs="Arial"/>
          <w:szCs w:val="22"/>
          <w:lang w:eastAsia="en-US"/>
        </w:rPr>
        <w:t>bislang</w:t>
      </w:r>
      <w:r w:rsidR="004E1CD9" w:rsidRPr="000E5A31">
        <w:rPr>
          <w:rFonts w:eastAsiaTheme="minorHAnsi" w:cs="Arial"/>
          <w:szCs w:val="22"/>
          <w:lang w:eastAsia="en-US"/>
        </w:rPr>
        <w:t xml:space="preserve"> v</w:t>
      </w:r>
      <w:r w:rsidRPr="000E5A31">
        <w:rPr>
          <w:rFonts w:eastAsiaTheme="minorHAnsi" w:cs="Arial"/>
          <w:szCs w:val="22"/>
          <w:lang w:eastAsia="en-US"/>
        </w:rPr>
        <w:t xml:space="preserve">.a. </w:t>
      </w:r>
      <w:r w:rsidR="004E1CD9" w:rsidRPr="000E5A31">
        <w:rPr>
          <w:rFonts w:eastAsiaTheme="minorHAnsi" w:cs="Arial"/>
          <w:szCs w:val="22"/>
          <w:lang w:eastAsia="en-US"/>
        </w:rPr>
        <w:t xml:space="preserve">in Form von Hybrid-Kraftwerken auf Basis von </w:t>
      </w:r>
      <w:r w:rsidR="00BA6E62" w:rsidRPr="000E5A31">
        <w:rPr>
          <w:rFonts w:eastAsiaTheme="minorHAnsi" w:cs="Arial"/>
          <w:szCs w:val="22"/>
          <w:lang w:eastAsia="en-US"/>
        </w:rPr>
        <w:t>konzentrierter Solarthe</w:t>
      </w:r>
      <w:r w:rsidR="00BA6E62" w:rsidRPr="000E5A31">
        <w:rPr>
          <w:rFonts w:eastAsiaTheme="minorHAnsi" w:cs="Arial"/>
          <w:szCs w:val="22"/>
          <w:lang w:eastAsia="en-US"/>
        </w:rPr>
        <w:t>r</w:t>
      </w:r>
      <w:r w:rsidR="00BA6E62" w:rsidRPr="000E5A31">
        <w:rPr>
          <w:rFonts w:eastAsiaTheme="minorHAnsi" w:cs="Arial"/>
          <w:szCs w:val="22"/>
          <w:lang w:eastAsia="en-US"/>
        </w:rPr>
        <w:t>mie (</w:t>
      </w:r>
      <w:r w:rsidR="004E1CD9" w:rsidRPr="000E5A31">
        <w:rPr>
          <w:rFonts w:eastAsiaTheme="minorHAnsi" w:cs="Arial"/>
          <w:szCs w:val="22"/>
          <w:lang w:eastAsia="en-US"/>
        </w:rPr>
        <w:t>CSP</w:t>
      </w:r>
      <w:r w:rsidR="00BA6E62" w:rsidRPr="000E5A31">
        <w:rPr>
          <w:rFonts w:eastAsiaTheme="minorHAnsi" w:cs="Arial"/>
          <w:szCs w:val="22"/>
          <w:lang w:eastAsia="en-US"/>
        </w:rPr>
        <w:t>)</w:t>
      </w:r>
      <w:r w:rsidR="004E1CD9" w:rsidRPr="000E5A31">
        <w:rPr>
          <w:rFonts w:eastAsiaTheme="minorHAnsi" w:cs="Arial"/>
          <w:szCs w:val="22"/>
          <w:lang w:eastAsia="en-US"/>
        </w:rPr>
        <w:t xml:space="preserve"> und Erdgas </w:t>
      </w:r>
      <w:r w:rsidR="00BA6E62" w:rsidRPr="000E5A31">
        <w:rPr>
          <w:rFonts w:eastAsiaTheme="minorHAnsi" w:cs="Arial"/>
          <w:szCs w:val="22"/>
          <w:lang w:eastAsia="en-US"/>
        </w:rPr>
        <w:t xml:space="preserve">verwendet </w:t>
      </w:r>
      <w:r w:rsidR="004E1CD9" w:rsidRPr="000E5A31">
        <w:rPr>
          <w:rFonts w:eastAsiaTheme="minorHAnsi" w:cs="Arial"/>
          <w:szCs w:val="22"/>
          <w:lang w:eastAsia="en-US"/>
        </w:rPr>
        <w:t xml:space="preserve">(in </w:t>
      </w:r>
      <w:r w:rsidR="00BA6E62" w:rsidRPr="000E5A31">
        <w:rPr>
          <w:rFonts w:eastAsiaTheme="minorHAnsi" w:cs="Arial"/>
          <w:szCs w:val="22"/>
          <w:lang w:eastAsia="en-US"/>
        </w:rPr>
        <w:t>Ägypten</w:t>
      </w:r>
      <w:r w:rsidR="00EB1453" w:rsidRPr="000E5A31">
        <w:rPr>
          <w:rFonts w:eastAsiaTheme="minorHAnsi" w:cs="Arial"/>
          <w:szCs w:val="22"/>
          <w:lang w:eastAsia="en-US"/>
        </w:rPr>
        <w:t>,</w:t>
      </w:r>
      <w:r w:rsidR="00BA6E62" w:rsidRPr="000E5A31">
        <w:rPr>
          <w:rFonts w:eastAsiaTheme="minorHAnsi" w:cs="Arial"/>
          <w:szCs w:val="22"/>
          <w:lang w:eastAsia="en-US"/>
        </w:rPr>
        <w:t xml:space="preserve"> </w:t>
      </w:r>
      <w:r w:rsidR="004E1CD9" w:rsidRPr="000E5A31">
        <w:rPr>
          <w:rFonts w:eastAsiaTheme="minorHAnsi" w:cs="Arial"/>
          <w:szCs w:val="22"/>
          <w:lang w:eastAsia="en-US"/>
        </w:rPr>
        <w:t xml:space="preserve">Algerien und Marokko). </w:t>
      </w:r>
      <w:r w:rsidRPr="000E5A31">
        <w:rPr>
          <w:rFonts w:eastAsiaTheme="minorHAnsi" w:cs="Arial"/>
          <w:szCs w:val="22"/>
          <w:lang w:eastAsia="en-US"/>
        </w:rPr>
        <w:t xml:space="preserve">Reine CSP </w:t>
      </w:r>
      <w:r w:rsidR="00EB1453" w:rsidRPr="000E5A31">
        <w:rPr>
          <w:rFonts w:eastAsiaTheme="minorHAnsi" w:cs="Arial"/>
          <w:szCs w:val="22"/>
          <w:lang w:eastAsia="en-US"/>
        </w:rPr>
        <w:t>Kraftwe</w:t>
      </w:r>
      <w:r w:rsidR="00EB1453" w:rsidRPr="000E5A31">
        <w:rPr>
          <w:rFonts w:eastAsiaTheme="minorHAnsi" w:cs="Arial"/>
          <w:szCs w:val="22"/>
          <w:lang w:eastAsia="en-US"/>
        </w:rPr>
        <w:t>r</w:t>
      </w:r>
      <w:r w:rsidR="00EB1453" w:rsidRPr="000E5A31">
        <w:rPr>
          <w:rFonts w:eastAsiaTheme="minorHAnsi" w:cs="Arial"/>
          <w:szCs w:val="22"/>
          <w:lang w:eastAsia="en-US"/>
        </w:rPr>
        <w:t xml:space="preserve">ke </w:t>
      </w:r>
      <w:r w:rsidRPr="000E5A31">
        <w:rPr>
          <w:rFonts w:eastAsiaTheme="minorHAnsi" w:cs="Arial"/>
          <w:szCs w:val="22"/>
          <w:lang w:eastAsia="en-US"/>
        </w:rPr>
        <w:t xml:space="preserve">gibt es </w:t>
      </w:r>
      <w:r w:rsidR="004E220B" w:rsidRPr="000E5A31">
        <w:rPr>
          <w:rFonts w:eastAsiaTheme="minorHAnsi" w:cs="Arial"/>
          <w:szCs w:val="22"/>
          <w:lang w:eastAsia="en-US"/>
        </w:rPr>
        <w:t xml:space="preserve">bisher </w:t>
      </w:r>
      <w:r w:rsidR="00EB1453" w:rsidRPr="000E5A31">
        <w:rPr>
          <w:rFonts w:eastAsiaTheme="minorHAnsi" w:cs="Arial"/>
          <w:szCs w:val="22"/>
          <w:lang w:eastAsia="en-US"/>
        </w:rPr>
        <w:t xml:space="preserve">nur </w:t>
      </w:r>
      <w:r w:rsidRPr="000E5A31">
        <w:rPr>
          <w:rFonts w:eastAsiaTheme="minorHAnsi" w:cs="Arial"/>
          <w:szCs w:val="22"/>
          <w:lang w:eastAsia="en-US"/>
        </w:rPr>
        <w:t xml:space="preserve">in den VAE </w:t>
      </w:r>
      <w:r w:rsidR="0096777C" w:rsidRPr="000E5A31">
        <w:rPr>
          <w:rFonts w:eastAsiaTheme="minorHAnsi" w:cs="Arial"/>
          <w:szCs w:val="22"/>
          <w:lang w:eastAsia="en-US"/>
        </w:rPr>
        <w:t xml:space="preserve">und </w:t>
      </w:r>
      <w:r w:rsidR="00BA6E62" w:rsidRPr="000E5A31">
        <w:rPr>
          <w:rFonts w:eastAsiaTheme="minorHAnsi" w:cs="Arial"/>
          <w:szCs w:val="22"/>
          <w:lang w:eastAsia="en-US"/>
        </w:rPr>
        <w:t>Marokko</w:t>
      </w:r>
      <w:r w:rsidR="004E1CD9" w:rsidRPr="000E5A31">
        <w:rPr>
          <w:rFonts w:eastAsiaTheme="minorHAnsi" w:cs="Arial"/>
          <w:szCs w:val="22"/>
          <w:lang w:eastAsia="en-US"/>
        </w:rPr>
        <w:t>. Jordanien, Katar und die VAE sind die einz</w:t>
      </w:r>
      <w:r w:rsidR="004E1CD9" w:rsidRPr="000E5A31">
        <w:rPr>
          <w:rFonts w:eastAsiaTheme="minorHAnsi" w:cs="Arial"/>
          <w:szCs w:val="22"/>
          <w:lang w:eastAsia="en-US"/>
        </w:rPr>
        <w:t>i</w:t>
      </w:r>
      <w:r w:rsidR="004E1CD9" w:rsidRPr="000E5A31">
        <w:rPr>
          <w:rFonts w:eastAsiaTheme="minorHAnsi" w:cs="Arial"/>
          <w:szCs w:val="22"/>
          <w:lang w:eastAsia="en-US"/>
        </w:rPr>
        <w:t xml:space="preserve">gen </w:t>
      </w:r>
      <w:r w:rsidR="0096777C" w:rsidRPr="000E5A31">
        <w:rPr>
          <w:rFonts w:eastAsiaTheme="minorHAnsi" w:cs="Arial"/>
          <w:szCs w:val="22"/>
          <w:lang w:eastAsia="en-US"/>
        </w:rPr>
        <w:t>Länder</w:t>
      </w:r>
      <w:r w:rsidR="004E1CD9" w:rsidRPr="000E5A31">
        <w:rPr>
          <w:rFonts w:eastAsiaTheme="minorHAnsi" w:cs="Arial"/>
          <w:szCs w:val="22"/>
          <w:lang w:eastAsia="en-US"/>
        </w:rPr>
        <w:t>, die Biomasse und Abfälle zur Stromerzeugung einsetz</w:t>
      </w:r>
      <w:r w:rsidR="00BA6E62" w:rsidRPr="000E5A31">
        <w:rPr>
          <w:rFonts w:eastAsiaTheme="minorHAnsi" w:cs="Arial"/>
          <w:szCs w:val="22"/>
          <w:lang w:eastAsia="en-US"/>
        </w:rPr>
        <w:t>en</w:t>
      </w:r>
      <w:r w:rsidR="004E1CD9" w:rsidRPr="000E5A31">
        <w:rPr>
          <w:rFonts w:eastAsiaTheme="minorHAnsi" w:cs="Arial"/>
          <w:szCs w:val="22"/>
          <w:lang w:eastAsia="en-US"/>
        </w:rPr>
        <w:t>.</w:t>
      </w:r>
    </w:p>
    <w:p w:rsidR="004E1CD9" w:rsidRPr="000E5A31" w:rsidRDefault="004B50F8" w:rsidP="008919E6">
      <w:pPr>
        <w:autoSpaceDE w:val="0"/>
        <w:autoSpaceDN w:val="0"/>
        <w:adjustRightInd w:val="0"/>
        <w:spacing w:after="120"/>
        <w:jc w:val="both"/>
        <w:rPr>
          <w:rFonts w:eastAsiaTheme="minorHAnsi" w:cs="Arial"/>
          <w:szCs w:val="22"/>
          <w:lang w:eastAsia="en-US"/>
        </w:rPr>
      </w:pPr>
      <w:r w:rsidRPr="000E5A31">
        <w:rPr>
          <w:rFonts w:eastAsiaTheme="minorHAnsi" w:cs="Arial"/>
          <w:szCs w:val="22"/>
          <w:lang w:eastAsia="en-US"/>
        </w:rPr>
        <w:t>A</w:t>
      </w:r>
      <w:r w:rsidR="004E1CD9" w:rsidRPr="000E5A31">
        <w:rPr>
          <w:rFonts w:eastAsiaTheme="minorHAnsi" w:cs="Arial"/>
          <w:szCs w:val="22"/>
          <w:lang w:eastAsia="en-US"/>
        </w:rPr>
        <w:t xml:space="preserve">uch </w:t>
      </w:r>
      <w:r w:rsidRPr="000E5A31">
        <w:rPr>
          <w:rFonts w:eastAsiaTheme="minorHAnsi" w:cs="Arial"/>
          <w:szCs w:val="22"/>
          <w:lang w:eastAsia="en-US"/>
        </w:rPr>
        <w:t xml:space="preserve">die </w:t>
      </w:r>
      <w:r w:rsidR="004E1CD9" w:rsidRPr="000E5A31">
        <w:rPr>
          <w:rFonts w:eastAsiaTheme="minorHAnsi" w:cs="Arial"/>
          <w:szCs w:val="22"/>
          <w:lang w:eastAsia="en-US"/>
        </w:rPr>
        <w:t xml:space="preserve">solare Warmwasserbereitung (SWH) </w:t>
      </w:r>
      <w:r w:rsidRPr="000E5A31">
        <w:rPr>
          <w:rFonts w:eastAsiaTheme="minorHAnsi" w:cs="Arial"/>
          <w:szCs w:val="22"/>
          <w:lang w:eastAsia="en-US"/>
        </w:rPr>
        <w:t xml:space="preserve">gewinnt an </w:t>
      </w:r>
      <w:r w:rsidR="004E1CD9" w:rsidRPr="000E5A31">
        <w:rPr>
          <w:rFonts w:eastAsiaTheme="minorHAnsi" w:cs="Arial"/>
          <w:szCs w:val="22"/>
          <w:lang w:eastAsia="en-US"/>
        </w:rPr>
        <w:t>Bedeutung</w:t>
      </w:r>
      <w:r w:rsidRPr="000E5A31">
        <w:rPr>
          <w:rFonts w:eastAsiaTheme="minorHAnsi" w:cs="Arial"/>
          <w:szCs w:val="22"/>
          <w:lang w:eastAsia="en-US"/>
        </w:rPr>
        <w:t xml:space="preserve">, neben Tunesien und den Palästinensischen Gebieten (wo diese bereits seit </w:t>
      </w:r>
      <w:r w:rsidR="00EB1453" w:rsidRPr="000E5A31">
        <w:rPr>
          <w:rFonts w:eastAsiaTheme="minorHAnsi" w:cs="Arial"/>
          <w:szCs w:val="22"/>
          <w:lang w:eastAsia="en-US"/>
        </w:rPr>
        <w:t>langem</w:t>
      </w:r>
      <w:r w:rsidRPr="000E5A31">
        <w:rPr>
          <w:rFonts w:eastAsiaTheme="minorHAnsi" w:cs="Arial"/>
          <w:szCs w:val="22"/>
          <w:lang w:eastAsia="en-US"/>
        </w:rPr>
        <w:t xml:space="preserve"> groß</w:t>
      </w:r>
      <w:r w:rsidR="00EB1453" w:rsidRPr="000E5A31">
        <w:rPr>
          <w:rFonts w:eastAsiaTheme="minorHAnsi" w:cs="Arial"/>
          <w:szCs w:val="22"/>
          <w:lang w:eastAsia="en-US"/>
        </w:rPr>
        <w:t xml:space="preserve">flächig </w:t>
      </w:r>
      <w:r w:rsidRPr="000E5A31">
        <w:rPr>
          <w:rFonts w:eastAsiaTheme="minorHAnsi" w:cs="Arial"/>
          <w:szCs w:val="22"/>
          <w:lang w:eastAsia="en-US"/>
        </w:rPr>
        <w:t>genutzt wird) v.a. in Jordanien und dem Libanon</w:t>
      </w:r>
      <w:r w:rsidR="004E1CD9" w:rsidRPr="000E5A31">
        <w:rPr>
          <w:rFonts w:eastAsiaTheme="minorHAnsi" w:cs="Arial"/>
          <w:szCs w:val="22"/>
          <w:lang w:eastAsia="en-US"/>
        </w:rPr>
        <w:t xml:space="preserve">. </w:t>
      </w:r>
      <w:r w:rsidR="00EB1453" w:rsidRPr="000E5A31">
        <w:rPr>
          <w:rFonts w:eastAsiaTheme="minorHAnsi" w:cs="Arial"/>
          <w:szCs w:val="22"/>
          <w:lang w:eastAsia="en-US"/>
        </w:rPr>
        <w:t>In Ägyp</w:t>
      </w:r>
      <w:r w:rsidRPr="000E5A31">
        <w:rPr>
          <w:rFonts w:eastAsiaTheme="minorHAnsi" w:cs="Arial"/>
          <w:szCs w:val="22"/>
          <w:lang w:eastAsia="en-US"/>
        </w:rPr>
        <w:t>t</w:t>
      </w:r>
      <w:r w:rsidR="00EB1453" w:rsidRPr="000E5A31">
        <w:rPr>
          <w:rFonts w:eastAsiaTheme="minorHAnsi" w:cs="Arial"/>
          <w:szCs w:val="22"/>
          <w:lang w:eastAsia="en-US"/>
        </w:rPr>
        <w:t>e</w:t>
      </w:r>
      <w:r w:rsidRPr="000E5A31">
        <w:rPr>
          <w:rFonts w:eastAsiaTheme="minorHAnsi" w:cs="Arial"/>
          <w:szCs w:val="22"/>
          <w:lang w:eastAsia="en-US"/>
        </w:rPr>
        <w:t>n und Marokko wurde die flächendeckende Nu</w:t>
      </w:r>
      <w:r w:rsidRPr="000E5A31">
        <w:rPr>
          <w:rFonts w:eastAsiaTheme="minorHAnsi" w:cs="Arial"/>
          <w:szCs w:val="22"/>
          <w:lang w:eastAsia="en-US"/>
        </w:rPr>
        <w:t>t</w:t>
      </w:r>
      <w:r w:rsidRPr="000E5A31">
        <w:rPr>
          <w:rFonts w:eastAsiaTheme="minorHAnsi" w:cs="Arial"/>
          <w:szCs w:val="22"/>
          <w:lang w:eastAsia="en-US"/>
        </w:rPr>
        <w:t xml:space="preserve">zung dagegen durch gravierende Qualitätsmängel </w:t>
      </w:r>
      <w:r w:rsidR="00EB1453" w:rsidRPr="000E5A31">
        <w:rPr>
          <w:rFonts w:eastAsiaTheme="minorHAnsi" w:cs="Arial"/>
          <w:szCs w:val="22"/>
          <w:lang w:eastAsia="en-US"/>
        </w:rPr>
        <w:t>bei vielen Installationen</w:t>
      </w:r>
      <w:r w:rsidRPr="000E5A31">
        <w:rPr>
          <w:rFonts w:eastAsiaTheme="minorHAnsi" w:cs="Arial"/>
          <w:szCs w:val="22"/>
          <w:lang w:eastAsia="en-US"/>
        </w:rPr>
        <w:t xml:space="preserve"> gebremst. </w:t>
      </w:r>
      <w:r w:rsidR="004E1CD9" w:rsidRPr="000E5A31">
        <w:rPr>
          <w:rFonts w:eastAsiaTheme="minorHAnsi" w:cs="Arial"/>
          <w:szCs w:val="22"/>
          <w:lang w:eastAsia="en-US"/>
        </w:rPr>
        <w:t xml:space="preserve">Dank der </w:t>
      </w:r>
      <w:r w:rsidRPr="000E5A31">
        <w:rPr>
          <w:rFonts w:eastAsiaTheme="minorHAnsi" w:cs="Arial"/>
          <w:szCs w:val="22"/>
          <w:lang w:eastAsia="en-US"/>
        </w:rPr>
        <w:t xml:space="preserve">im Prinzip </w:t>
      </w:r>
      <w:r w:rsidR="00EB1453" w:rsidRPr="000E5A31">
        <w:rPr>
          <w:rFonts w:eastAsiaTheme="minorHAnsi" w:cs="Arial"/>
          <w:szCs w:val="22"/>
          <w:lang w:eastAsia="en-US"/>
        </w:rPr>
        <w:t xml:space="preserve">einfachen </w:t>
      </w:r>
      <w:r w:rsidR="004E1CD9" w:rsidRPr="000E5A31">
        <w:rPr>
          <w:rFonts w:eastAsiaTheme="minorHAnsi" w:cs="Arial"/>
          <w:szCs w:val="22"/>
          <w:lang w:eastAsia="en-US"/>
        </w:rPr>
        <w:t>Technologie kann ein Großteil der SWH-Systeme lokal gefertigt werden, mit entsprechender Wertschöpfung und Arbeitspl</w:t>
      </w:r>
      <w:r w:rsidR="00EB1453" w:rsidRPr="000E5A31">
        <w:rPr>
          <w:rFonts w:eastAsiaTheme="minorHAnsi" w:cs="Arial"/>
          <w:szCs w:val="22"/>
          <w:lang w:eastAsia="en-US"/>
        </w:rPr>
        <w:t>a</w:t>
      </w:r>
      <w:r w:rsidR="004E1CD9" w:rsidRPr="000E5A31">
        <w:rPr>
          <w:rFonts w:eastAsiaTheme="minorHAnsi" w:cs="Arial"/>
          <w:szCs w:val="22"/>
          <w:lang w:eastAsia="en-US"/>
        </w:rPr>
        <w:t>tz</w:t>
      </w:r>
      <w:r w:rsidR="00EB1453" w:rsidRPr="000E5A31">
        <w:rPr>
          <w:rFonts w:eastAsiaTheme="minorHAnsi" w:cs="Arial"/>
          <w:szCs w:val="22"/>
          <w:lang w:eastAsia="en-US"/>
        </w:rPr>
        <w:t>schaffung</w:t>
      </w:r>
      <w:r w:rsidR="00836D27" w:rsidRPr="000E5A31">
        <w:rPr>
          <w:rFonts w:eastAsiaTheme="minorHAnsi" w:cs="Arial"/>
          <w:szCs w:val="22"/>
          <w:lang w:eastAsia="en-US"/>
        </w:rPr>
        <w:t xml:space="preserve"> vor Ort.</w:t>
      </w:r>
    </w:p>
    <w:p w:rsidR="004E1CD9" w:rsidRPr="000E5A31" w:rsidRDefault="004E1CD9" w:rsidP="008919E6">
      <w:pPr>
        <w:autoSpaceDE w:val="0"/>
        <w:autoSpaceDN w:val="0"/>
        <w:adjustRightInd w:val="0"/>
        <w:spacing w:after="120"/>
        <w:jc w:val="both"/>
        <w:rPr>
          <w:rFonts w:eastAsiaTheme="minorHAnsi" w:cs="Arial"/>
          <w:szCs w:val="22"/>
          <w:lang w:eastAsia="en-US"/>
        </w:rPr>
      </w:pPr>
      <w:r w:rsidRPr="000E5A31">
        <w:rPr>
          <w:rFonts w:eastAsiaTheme="minorHAnsi" w:cs="Arial"/>
          <w:szCs w:val="22"/>
          <w:lang w:eastAsia="en-US"/>
        </w:rPr>
        <w:t xml:space="preserve">Während die installierten </w:t>
      </w:r>
      <w:r w:rsidR="00047701" w:rsidRPr="000E5A31">
        <w:rPr>
          <w:rFonts w:eastAsiaTheme="minorHAnsi" w:cs="Arial"/>
          <w:szCs w:val="22"/>
          <w:lang w:eastAsia="en-US"/>
        </w:rPr>
        <w:t>RE-</w:t>
      </w:r>
      <w:r w:rsidRPr="000E5A31">
        <w:rPr>
          <w:rFonts w:eastAsiaTheme="minorHAnsi" w:cs="Arial"/>
          <w:szCs w:val="22"/>
          <w:lang w:eastAsia="en-US"/>
        </w:rPr>
        <w:t xml:space="preserve">Kapazitäten im Vergleich zu anderen Weltregionen </w:t>
      </w:r>
      <w:r w:rsidR="0096777C" w:rsidRPr="000E5A31">
        <w:rPr>
          <w:rFonts w:eastAsiaTheme="minorHAnsi" w:cs="Arial"/>
          <w:szCs w:val="22"/>
          <w:lang w:eastAsia="en-US"/>
        </w:rPr>
        <w:t xml:space="preserve">vorerst </w:t>
      </w:r>
      <w:r w:rsidR="00EE2CB2" w:rsidRPr="000E5A31">
        <w:rPr>
          <w:rFonts w:eastAsiaTheme="minorHAnsi" w:cs="Arial"/>
          <w:szCs w:val="22"/>
          <w:lang w:eastAsia="en-US"/>
        </w:rPr>
        <w:t>we</w:t>
      </w:r>
      <w:r w:rsidR="00EE2CB2" w:rsidRPr="000E5A31">
        <w:rPr>
          <w:rFonts w:eastAsiaTheme="minorHAnsi" w:cs="Arial"/>
          <w:szCs w:val="22"/>
          <w:lang w:eastAsia="en-US"/>
        </w:rPr>
        <w:t>i</w:t>
      </w:r>
      <w:r w:rsidR="00EE2CB2" w:rsidRPr="000E5A31">
        <w:rPr>
          <w:rFonts w:eastAsiaTheme="minorHAnsi" w:cs="Arial"/>
          <w:szCs w:val="22"/>
          <w:lang w:eastAsia="en-US"/>
        </w:rPr>
        <w:t>ter</w:t>
      </w:r>
      <w:r w:rsidRPr="000E5A31">
        <w:rPr>
          <w:rFonts w:eastAsiaTheme="minorHAnsi" w:cs="Arial"/>
          <w:szCs w:val="22"/>
          <w:lang w:eastAsia="en-US"/>
        </w:rPr>
        <w:t xml:space="preserve"> bescheiden ausfallen, zeigt </w:t>
      </w:r>
      <w:r w:rsidR="00EE2CB2" w:rsidRPr="000E5A31">
        <w:rPr>
          <w:rFonts w:eastAsiaTheme="minorHAnsi" w:cs="Arial"/>
          <w:szCs w:val="22"/>
          <w:lang w:eastAsia="en-US"/>
        </w:rPr>
        <w:t>ein B</w:t>
      </w:r>
      <w:r w:rsidRPr="000E5A31">
        <w:rPr>
          <w:rFonts w:eastAsiaTheme="minorHAnsi" w:cs="Arial"/>
          <w:szCs w:val="22"/>
          <w:lang w:eastAsia="en-US"/>
        </w:rPr>
        <w:t xml:space="preserve">lick auf die </w:t>
      </w:r>
      <w:r w:rsidR="00EB1453" w:rsidRPr="000E5A31">
        <w:rPr>
          <w:rFonts w:eastAsiaTheme="minorHAnsi" w:cs="Arial"/>
          <w:szCs w:val="22"/>
          <w:lang w:eastAsia="en-US"/>
        </w:rPr>
        <w:t xml:space="preserve">gegenwärtige </w:t>
      </w:r>
      <w:r w:rsidRPr="000E5A31">
        <w:rPr>
          <w:rFonts w:eastAsiaTheme="minorHAnsi" w:cs="Arial"/>
          <w:szCs w:val="22"/>
          <w:lang w:eastAsia="en-US"/>
        </w:rPr>
        <w:t>Projekt</w:t>
      </w:r>
      <w:r w:rsidR="00EB1453" w:rsidRPr="000E5A31">
        <w:rPr>
          <w:rFonts w:eastAsiaTheme="minorHAnsi" w:cs="Arial"/>
          <w:szCs w:val="22"/>
          <w:lang w:eastAsia="en-US"/>
        </w:rPr>
        <w:t>pipelin</w:t>
      </w:r>
      <w:r w:rsidRPr="000E5A31">
        <w:rPr>
          <w:rFonts w:eastAsiaTheme="minorHAnsi" w:cs="Arial"/>
          <w:szCs w:val="22"/>
          <w:lang w:eastAsia="en-US"/>
        </w:rPr>
        <w:t>e</w:t>
      </w:r>
      <w:r w:rsidR="00EE2CB2" w:rsidRPr="000E5A31">
        <w:rPr>
          <w:rFonts w:eastAsiaTheme="minorHAnsi" w:cs="Arial"/>
          <w:szCs w:val="22"/>
          <w:lang w:eastAsia="en-US"/>
        </w:rPr>
        <w:t xml:space="preserve"> ein positiveres Bild</w:t>
      </w:r>
      <w:r w:rsidRPr="000E5A31">
        <w:rPr>
          <w:rFonts w:eastAsiaTheme="minorHAnsi" w:cs="Arial"/>
          <w:szCs w:val="22"/>
          <w:lang w:eastAsia="en-US"/>
        </w:rPr>
        <w:t xml:space="preserve">: </w:t>
      </w:r>
      <w:r w:rsidR="00047701" w:rsidRPr="000E5A31">
        <w:rPr>
          <w:rFonts w:eastAsiaTheme="minorHAnsi" w:cs="Arial"/>
          <w:szCs w:val="22"/>
          <w:lang w:eastAsia="en-US"/>
        </w:rPr>
        <w:t>2014</w:t>
      </w:r>
      <w:r w:rsidRPr="000E5A31">
        <w:rPr>
          <w:rFonts w:eastAsiaTheme="minorHAnsi" w:cs="Arial"/>
          <w:szCs w:val="22"/>
          <w:lang w:eastAsia="en-US"/>
        </w:rPr>
        <w:t xml:space="preserve"> </w:t>
      </w:r>
      <w:r w:rsidR="00047701" w:rsidRPr="000E5A31">
        <w:rPr>
          <w:rFonts w:eastAsiaTheme="minorHAnsi" w:cs="Arial"/>
          <w:szCs w:val="22"/>
          <w:lang w:eastAsia="en-US"/>
        </w:rPr>
        <w:t>waren</w:t>
      </w:r>
      <w:r w:rsidRPr="000E5A31">
        <w:rPr>
          <w:rFonts w:eastAsiaTheme="minorHAnsi" w:cs="Arial"/>
          <w:szCs w:val="22"/>
          <w:lang w:eastAsia="en-US"/>
        </w:rPr>
        <w:t xml:space="preserve"> rund 6,4 GW an </w:t>
      </w:r>
      <w:r w:rsidR="0096777C" w:rsidRPr="000E5A31">
        <w:rPr>
          <w:rFonts w:eastAsiaTheme="minorHAnsi" w:cs="Arial"/>
          <w:szCs w:val="22"/>
          <w:lang w:eastAsia="en-US"/>
        </w:rPr>
        <w:t>R</w:t>
      </w:r>
      <w:r w:rsidRPr="000E5A31">
        <w:rPr>
          <w:rFonts w:eastAsiaTheme="minorHAnsi" w:cs="Arial"/>
          <w:szCs w:val="22"/>
          <w:lang w:eastAsia="en-US"/>
        </w:rPr>
        <w:t>E-Projekten in der Region i</w:t>
      </w:r>
      <w:r w:rsidR="007417BD" w:rsidRPr="000E5A31">
        <w:rPr>
          <w:rFonts w:eastAsiaTheme="minorHAnsi" w:cs="Arial"/>
          <w:szCs w:val="22"/>
          <w:lang w:eastAsia="en-US"/>
        </w:rPr>
        <w:t>m</w:t>
      </w:r>
      <w:r w:rsidRPr="000E5A31">
        <w:rPr>
          <w:rFonts w:eastAsiaTheme="minorHAnsi" w:cs="Arial"/>
          <w:szCs w:val="22"/>
          <w:lang w:eastAsia="en-US"/>
        </w:rPr>
        <w:t xml:space="preserve"> Bau bzw. </w:t>
      </w:r>
      <w:r w:rsidR="00243558" w:rsidRPr="000E5A31">
        <w:rPr>
          <w:rFonts w:eastAsiaTheme="minorHAnsi" w:cs="Arial"/>
          <w:szCs w:val="22"/>
          <w:lang w:eastAsia="en-US"/>
        </w:rPr>
        <w:t>in Planung</w:t>
      </w:r>
      <w:r w:rsidRPr="000E5A31">
        <w:rPr>
          <w:rFonts w:eastAsiaTheme="minorHAnsi" w:cs="Arial"/>
          <w:szCs w:val="22"/>
          <w:lang w:eastAsia="en-US"/>
        </w:rPr>
        <w:t>. Die überwiegende Mehrheit sind Wind- (4,5 GW) und Solar</w:t>
      </w:r>
      <w:r w:rsidR="00EB1453" w:rsidRPr="000E5A31">
        <w:rPr>
          <w:rFonts w:eastAsiaTheme="minorHAnsi" w:cs="Arial"/>
          <w:szCs w:val="22"/>
          <w:lang w:eastAsia="en-US"/>
        </w:rPr>
        <w:t>projekte</w:t>
      </w:r>
      <w:r w:rsidRPr="000E5A31">
        <w:rPr>
          <w:rFonts w:eastAsiaTheme="minorHAnsi" w:cs="Arial"/>
          <w:szCs w:val="22"/>
          <w:lang w:eastAsia="en-US"/>
        </w:rPr>
        <w:t xml:space="preserve"> (1,8 GW). </w:t>
      </w:r>
      <w:r w:rsidR="00DF5147" w:rsidRPr="000E5A31">
        <w:rPr>
          <w:rFonts w:eastAsiaTheme="minorHAnsi" w:cs="Arial"/>
          <w:szCs w:val="22"/>
          <w:lang w:eastAsia="en-US"/>
        </w:rPr>
        <w:t xml:space="preserve">Allein in Marokko wurden 2014 </w:t>
      </w:r>
      <w:r w:rsidR="000E5A31" w:rsidRPr="000E5A31">
        <w:rPr>
          <w:rFonts w:eastAsiaTheme="minorHAnsi" w:cs="Arial"/>
          <w:szCs w:val="22"/>
          <w:lang w:eastAsia="en-US"/>
        </w:rPr>
        <w:t>insgesamt</w:t>
      </w:r>
      <w:r w:rsidR="00DF5147" w:rsidRPr="000E5A31">
        <w:rPr>
          <w:rFonts w:eastAsiaTheme="minorHAnsi" w:cs="Arial"/>
          <w:szCs w:val="22"/>
          <w:lang w:eastAsia="en-US"/>
        </w:rPr>
        <w:t xml:space="preserve"> 1 </w:t>
      </w:r>
      <w:r w:rsidR="00047701" w:rsidRPr="000E5A31">
        <w:rPr>
          <w:rFonts w:eastAsiaTheme="minorHAnsi" w:cs="Arial"/>
          <w:szCs w:val="22"/>
          <w:lang w:eastAsia="en-US"/>
        </w:rPr>
        <w:t>G</w:t>
      </w:r>
      <w:r w:rsidR="00DF5147" w:rsidRPr="000E5A31">
        <w:rPr>
          <w:rFonts w:eastAsiaTheme="minorHAnsi" w:cs="Arial"/>
          <w:szCs w:val="22"/>
          <w:lang w:eastAsia="en-US"/>
        </w:rPr>
        <w:t xml:space="preserve">W für Solar und Wind neu ausgeschrieben. </w:t>
      </w:r>
      <w:r w:rsidRPr="000E5A31">
        <w:rPr>
          <w:rFonts w:eastAsiaTheme="minorHAnsi" w:cs="Arial"/>
          <w:szCs w:val="22"/>
          <w:lang w:eastAsia="en-US"/>
        </w:rPr>
        <w:t xml:space="preserve">Die restlichen MENA-Länder haben </w:t>
      </w:r>
      <w:r w:rsidR="00243558" w:rsidRPr="000E5A31">
        <w:rPr>
          <w:rFonts w:eastAsiaTheme="minorHAnsi" w:cs="Arial"/>
          <w:szCs w:val="22"/>
          <w:lang w:eastAsia="en-US"/>
        </w:rPr>
        <w:t xml:space="preserve">noch deutlich </w:t>
      </w:r>
      <w:r w:rsidRPr="000E5A31">
        <w:rPr>
          <w:rFonts w:eastAsiaTheme="minorHAnsi" w:cs="Arial"/>
          <w:szCs w:val="22"/>
          <w:lang w:eastAsia="en-US"/>
        </w:rPr>
        <w:t>kleinere Portfolios</w:t>
      </w:r>
      <w:r w:rsidR="00243558" w:rsidRPr="000E5A31">
        <w:rPr>
          <w:rFonts w:eastAsiaTheme="minorHAnsi" w:cs="Arial"/>
          <w:szCs w:val="22"/>
          <w:lang w:eastAsia="en-US"/>
        </w:rPr>
        <w:t>, holen aber rasch auf</w:t>
      </w:r>
      <w:r w:rsidRPr="000E5A31">
        <w:rPr>
          <w:rFonts w:eastAsiaTheme="minorHAnsi" w:cs="Arial"/>
          <w:szCs w:val="22"/>
          <w:lang w:eastAsia="en-US"/>
        </w:rPr>
        <w:t>.</w:t>
      </w:r>
      <w:r w:rsidR="00EA4D44" w:rsidRPr="000E5A31">
        <w:rPr>
          <w:rFonts w:eastAsiaTheme="minorHAnsi" w:cs="Arial"/>
          <w:szCs w:val="22"/>
          <w:lang w:eastAsia="en-US"/>
        </w:rPr>
        <w:t xml:space="preserve"> Dies gilt insb</w:t>
      </w:r>
      <w:r w:rsidR="00EA4D44" w:rsidRPr="000E5A31">
        <w:rPr>
          <w:rFonts w:eastAsiaTheme="minorHAnsi" w:cs="Arial"/>
          <w:szCs w:val="22"/>
          <w:lang w:eastAsia="en-US"/>
        </w:rPr>
        <w:t>e</w:t>
      </w:r>
      <w:r w:rsidR="00EA4D44" w:rsidRPr="000E5A31">
        <w:rPr>
          <w:rFonts w:eastAsiaTheme="minorHAnsi" w:cs="Arial"/>
          <w:szCs w:val="22"/>
          <w:lang w:eastAsia="en-US"/>
        </w:rPr>
        <w:t xml:space="preserve">sondere für Ägypten, wo </w:t>
      </w:r>
      <w:r w:rsidR="00047701" w:rsidRPr="000E5A31">
        <w:rPr>
          <w:rFonts w:eastAsiaTheme="minorHAnsi" w:cs="Arial"/>
          <w:szCs w:val="22"/>
          <w:lang w:eastAsia="en-US"/>
        </w:rPr>
        <w:t xml:space="preserve">aktuell über 4 GW </w:t>
      </w:r>
      <w:r w:rsidR="004E220B" w:rsidRPr="000E5A31">
        <w:rPr>
          <w:rFonts w:eastAsiaTheme="minorHAnsi" w:cs="Arial"/>
          <w:szCs w:val="22"/>
          <w:lang w:eastAsia="en-US"/>
        </w:rPr>
        <w:t xml:space="preserve">für Solar und Wind </w:t>
      </w:r>
      <w:r w:rsidR="00047701" w:rsidRPr="000E5A31">
        <w:rPr>
          <w:rFonts w:eastAsiaTheme="minorHAnsi" w:cs="Arial"/>
          <w:szCs w:val="22"/>
          <w:lang w:eastAsia="en-US"/>
        </w:rPr>
        <w:t>ausgeschrieben werden.</w:t>
      </w:r>
    </w:p>
    <w:p w:rsidR="00EE2CB2" w:rsidRPr="000E5A31" w:rsidRDefault="00EE2CB2" w:rsidP="008919E6">
      <w:pPr>
        <w:autoSpaceDE w:val="0"/>
        <w:autoSpaceDN w:val="0"/>
        <w:adjustRightInd w:val="0"/>
        <w:spacing w:after="120"/>
        <w:jc w:val="both"/>
        <w:rPr>
          <w:rFonts w:eastAsiaTheme="minorHAnsi" w:cs="Arial"/>
          <w:szCs w:val="22"/>
          <w:lang w:eastAsia="en-US"/>
        </w:rPr>
      </w:pPr>
      <w:r w:rsidRPr="000E5A31">
        <w:rPr>
          <w:rFonts w:eastAsiaTheme="minorHAnsi" w:cs="Arial"/>
          <w:szCs w:val="22"/>
          <w:lang w:eastAsia="en-US"/>
        </w:rPr>
        <w:t>Tatsächlich haben fa</w:t>
      </w:r>
      <w:r w:rsidR="006B6807" w:rsidRPr="000E5A31">
        <w:rPr>
          <w:rFonts w:eastAsiaTheme="minorHAnsi" w:cs="Arial"/>
          <w:szCs w:val="22"/>
          <w:lang w:eastAsia="en-US"/>
        </w:rPr>
        <w:t>s</w:t>
      </w:r>
      <w:r w:rsidRPr="000E5A31">
        <w:rPr>
          <w:rFonts w:eastAsiaTheme="minorHAnsi" w:cs="Arial"/>
          <w:szCs w:val="22"/>
          <w:lang w:eastAsia="en-US"/>
        </w:rPr>
        <w:t xml:space="preserve">t alle MENA Länder in den </w:t>
      </w:r>
      <w:r w:rsidR="00714B11" w:rsidRPr="000E5A31">
        <w:rPr>
          <w:rFonts w:eastAsiaTheme="minorHAnsi" w:cs="Arial"/>
          <w:szCs w:val="22"/>
          <w:lang w:eastAsia="en-US"/>
        </w:rPr>
        <w:t>vergangenen</w:t>
      </w:r>
      <w:r w:rsidRPr="000E5A31">
        <w:rPr>
          <w:rFonts w:eastAsiaTheme="minorHAnsi" w:cs="Arial"/>
          <w:szCs w:val="22"/>
          <w:lang w:eastAsia="en-US"/>
        </w:rPr>
        <w:t xml:space="preserve"> Jahren die politischen und rechtlich-regulatorischen Rahmenbedingungen für eine </w:t>
      </w:r>
      <w:r w:rsidR="00047701" w:rsidRPr="000E5A31">
        <w:rPr>
          <w:rFonts w:eastAsiaTheme="minorHAnsi" w:cs="Arial"/>
          <w:szCs w:val="22"/>
          <w:lang w:eastAsia="en-US"/>
        </w:rPr>
        <w:t>effektive</w:t>
      </w:r>
      <w:r w:rsidRPr="000E5A31">
        <w:rPr>
          <w:rFonts w:eastAsiaTheme="minorHAnsi" w:cs="Arial"/>
          <w:szCs w:val="22"/>
          <w:lang w:eastAsia="en-US"/>
        </w:rPr>
        <w:t xml:space="preserve"> Nutzung </w:t>
      </w:r>
      <w:r w:rsidR="00047701" w:rsidRPr="000E5A31">
        <w:rPr>
          <w:rFonts w:eastAsiaTheme="minorHAnsi" w:cs="Arial"/>
          <w:szCs w:val="22"/>
          <w:lang w:eastAsia="en-US"/>
        </w:rPr>
        <w:t>e</w:t>
      </w:r>
      <w:r w:rsidRPr="000E5A31">
        <w:rPr>
          <w:rFonts w:eastAsiaTheme="minorHAnsi" w:cs="Arial"/>
          <w:szCs w:val="22"/>
          <w:lang w:eastAsia="en-US"/>
        </w:rPr>
        <w:t>rneuerbarer Energien weiter verbessert. Dies gil</w:t>
      </w:r>
      <w:r w:rsidR="00272AEF" w:rsidRPr="000E5A31">
        <w:rPr>
          <w:rFonts w:eastAsiaTheme="minorHAnsi" w:cs="Arial"/>
          <w:szCs w:val="22"/>
          <w:lang w:eastAsia="en-US"/>
        </w:rPr>
        <w:t>t</w:t>
      </w:r>
      <w:r w:rsidRPr="000E5A31">
        <w:rPr>
          <w:rFonts w:eastAsiaTheme="minorHAnsi" w:cs="Arial"/>
          <w:szCs w:val="22"/>
          <w:lang w:eastAsia="en-US"/>
        </w:rPr>
        <w:t xml:space="preserve"> auch für die 3 Fokusländer von RE-A</w:t>
      </w:r>
      <w:r w:rsidR="00047701" w:rsidRPr="000E5A31">
        <w:rPr>
          <w:rFonts w:eastAsiaTheme="minorHAnsi" w:cs="Arial"/>
          <w:szCs w:val="22"/>
          <w:lang w:eastAsia="en-US"/>
        </w:rPr>
        <w:t>CTIVATE</w:t>
      </w:r>
      <w:r w:rsidRPr="000E5A31">
        <w:rPr>
          <w:rFonts w:eastAsiaTheme="minorHAnsi" w:cs="Arial"/>
          <w:szCs w:val="22"/>
          <w:lang w:eastAsia="en-US"/>
        </w:rPr>
        <w:t>.</w:t>
      </w:r>
    </w:p>
    <w:p w:rsidR="00142342" w:rsidRPr="000E5A31" w:rsidRDefault="00142342" w:rsidP="00142342">
      <w:pPr>
        <w:autoSpaceDE w:val="0"/>
        <w:autoSpaceDN w:val="0"/>
        <w:adjustRightInd w:val="0"/>
        <w:spacing w:after="120"/>
        <w:jc w:val="both"/>
        <w:rPr>
          <w:rFonts w:cs="Arial"/>
          <w:szCs w:val="22"/>
        </w:rPr>
      </w:pPr>
      <w:r w:rsidRPr="000E5A31">
        <w:rPr>
          <w:rFonts w:eastAsiaTheme="minorHAnsi" w:cs="Arial"/>
          <w:szCs w:val="22"/>
          <w:lang w:eastAsia="en-US"/>
        </w:rPr>
        <w:t xml:space="preserve">Ein Meilenstein sind die jüngsten Verabschiedungen zweier Gesetze </w:t>
      </w:r>
      <w:r w:rsidR="00836D27" w:rsidRPr="000E5A31">
        <w:t>über die Stromerze</w:t>
      </w:r>
      <w:r w:rsidR="00836D27" w:rsidRPr="000E5A31">
        <w:t>u</w:t>
      </w:r>
      <w:r w:rsidR="00836D27" w:rsidRPr="000E5A31">
        <w:t>gung aus erneuerbaren Energien</w:t>
      </w:r>
      <w:r w:rsidR="00836D27" w:rsidRPr="000E5A31">
        <w:rPr>
          <w:rFonts w:eastAsiaTheme="minorHAnsi" w:cs="Arial"/>
          <w:szCs w:val="22"/>
          <w:lang w:eastAsia="en-US"/>
        </w:rPr>
        <w:t xml:space="preserve"> </w:t>
      </w:r>
      <w:r w:rsidRPr="000E5A31">
        <w:rPr>
          <w:rFonts w:eastAsiaTheme="minorHAnsi" w:cs="Arial"/>
          <w:szCs w:val="22"/>
          <w:lang w:eastAsia="en-US"/>
        </w:rPr>
        <w:t xml:space="preserve">in Ägypten </w:t>
      </w:r>
      <w:r w:rsidR="00836D27" w:rsidRPr="000E5A31">
        <w:rPr>
          <w:rFonts w:cs="Arial"/>
          <w:szCs w:val="22"/>
        </w:rPr>
        <w:t xml:space="preserve">(Law 203/2014) </w:t>
      </w:r>
      <w:r w:rsidRPr="000E5A31">
        <w:rPr>
          <w:rFonts w:eastAsiaTheme="minorHAnsi" w:cs="Arial"/>
          <w:szCs w:val="22"/>
          <w:lang w:eastAsia="en-US"/>
        </w:rPr>
        <w:t>und Tunesien</w:t>
      </w:r>
      <w:r w:rsidR="00836D27" w:rsidRPr="000E5A31">
        <w:rPr>
          <w:rFonts w:eastAsiaTheme="minorHAnsi" w:cs="Arial"/>
          <w:szCs w:val="22"/>
          <w:lang w:eastAsia="en-US"/>
        </w:rPr>
        <w:t xml:space="preserve"> </w:t>
      </w:r>
      <w:r w:rsidR="00836D27" w:rsidRPr="000E5A31">
        <w:t>(Loi 12/2015)</w:t>
      </w:r>
      <w:r w:rsidRPr="000E5A31">
        <w:rPr>
          <w:rFonts w:eastAsiaTheme="minorHAnsi" w:cs="Arial"/>
          <w:szCs w:val="22"/>
          <w:lang w:eastAsia="en-US"/>
        </w:rPr>
        <w:t xml:space="preserve">. </w:t>
      </w:r>
      <w:r w:rsidR="00836D27" w:rsidRPr="000E5A31">
        <w:rPr>
          <w:rFonts w:cs="Arial"/>
          <w:szCs w:val="22"/>
        </w:rPr>
        <w:t xml:space="preserve">Tunesien will </w:t>
      </w:r>
      <w:r w:rsidR="00E9690D" w:rsidRPr="000E5A31">
        <w:rPr>
          <w:rFonts w:cs="Arial"/>
          <w:szCs w:val="22"/>
        </w:rPr>
        <w:t xml:space="preserve">bis 2030 30% des </w:t>
      </w:r>
      <w:r w:rsidR="00714B11" w:rsidRPr="000E5A31">
        <w:rPr>
          <w:rFonts w:cs="Arial"/>
          <w:szCs w:val="22"/>
        </w:rPr>
        <w:t>Energieverb</w:t>
      </w:r>
      <w:r w:rsidR="000E5A31">
        <w:rPr>
          <w:rFonts w:cs="Arial"/>
          <w:szCs w:val="22"/>
        </w:rPr>
        <w:t>r</w:t>
      </w:r>
      <w:r w:rsidR="00714B11" w:rsidRPr="000E5A31">
        <w:rPr>
          <w:rFonts w:cs="Arial"/>
          <w:szCs w:val="22"/>
        </w:rPr>
        <w:t>auchs</w:t>
      </w:r>
      <w:r w:rsidR="00E9690D" w:rsidRPr="000E5A31">
        <w:rPr>
          <w:rFonts w:cs="Arial"/>
          <w:szCs w:val="22"/>
        </w:rPr>
        <w:t xml:space="preserve"> durch </w:t>
      </w:r>
      <w:r w:rsidR="00FC0BB3">
        <w:rPr>
          <w:rFonts w:cs="Arial"/>
          <w:szCs w:val="22"/>
        </w:rPr>
        <w:t>e</w:t>
      </w:r>
      <w:r w:rsidR="00E9690D" w:rsidRPr="000E5A31">
        <w:rPr>
          <w:rFonts w:cs="Arial"/>
          <w:szCs w:val="22"/>
        </w:rPr>
        <w:t>rneuerbare Energien d</w:t>
      </w:r>
      <w:r w:rsidR="00047701" w:rsidRPr="000E5A31">
        <w:rPr>
          <w:rFonts w:cs="Arial"/>
          <w:szCs w:val="22"/>
        </w:rPr>
        <w:t>e</w:t>
      </w:r>
      <w:r w:rsidR="00E9690D" w:rsidRPr="000E5A31">
        <w:rPr>
          <w:rFonts w:cs="Arial"/>
          <w:szCs w:val="22"/>
        </w:rPr>
        <w:t>cken</w:t>
      </w:r>
      <w:r w:rsidR="00047701" w:rsidRPr="000E5A31">
        <w:rPr>
          <w:rFonts w:cs="Arial"/>
          <w:szCs w:val="22"/>
        </w:rPr>
        <w:t xml:space="preserve">, was nach aktueller Planung </w:t>
      </w:r>
      <w:r w:rsidR="00E9690D" w:rsidRPr="000E5A31">
        <w:rPr>
          <w:rFonts w:cs="Arial"/>
          <w:szCs w:val="22"/>
        </w:rPr>
        <w:t>den Zubau von 3</w:t>
      </w:r>
      <w:r w:rsidR="00047701" w:rsidRPr="000E5A31">
        <w:rPr>
          <w:rFonts w:cs="Arial"/>
          <w:szCs w:val="22"/>
        </w:rPr>
        <w:t>,</w:t>
      </w:r>
      <w:r w:rsidR="00E9690D" w:rsidRPr="000E5A31">
        <w:rPr>
          <w:rFonts w:cs="Arial"/>
          <w:szCs w:val="22"/>
        </w:rPr>
        <w:t>8</w:t>
      </w:r>
      <w:r w:rsidR="00047701" w:rsidRPr="000E5A31">
        <w:rPr>
          <w:rFonts w:cs="Arial"/>
          <w:szCs w:val="22"/>
        </w:rPr>
        <w:t xml:space="preserve"> G</w:t>
      </w:r>
      <w:r w:rsidR="00E9690D" w:rsidRPr="000E5A31">
        <w:rPr>
          <w:rFonts w:cs="Arial"/>
          <w:szCs w:val="22"/>
        </w:rPr>
        <w:t xml:space="preserve">W </w:t>
      </w:r>
      <w:r w:rsidR="00A673FC" w:rsidRPr="000E5A31">
        <w:rPr>
          <w:rFonts w:cs="Arial"/>
          <w:szCs w:val="22"/>
        </w:rPr>
        <w:t>beinhaltet</w:t>
      </w:r>
      <w:r w:rsidR="00E9690D" w:rsidRPr="000E5A31">
        <w:rPr>
          <w:rFonts w:cs="Arial"/>
          <w:szCs w:val="22"/>
        </w:rPr>
        <w:t xml:space="preserve">. Ägypten </w:t>
      </w:r>
      <w:r w:rsidR="00836D27" w:rsidRPr="000E5A31">
        <w:rPr>
          <w:rFonts w:cs="Arial"/>
          <w:szCs w:val="22"/>
        </w:rPr>
        <w:t>will bis 2017</w:t>
      </w:r>
      <w:r w:rsidR="00E9690D" w:rsidRPr="000E5A31">
        <w:rPr>
          <w:rFonts w:cs="Arial"/>
          <w:szCs w:val="22"/>
        </w:rPr>
        <w:t xml:space="preserve"> </w:t>
      </w:r>
      <w:r w:rsidR="00A673FC" w:rsidRPr="000E5A31">
        <w:rPr>
          <w:rFonts w:cs="Arial"/>
          <w:szCs w:val="22"/>
        </w:rPr>
        <w:t>4</w:t>
      </w:r>
      <w:r w:rsidR="00E9690D" w:rsidRPr="000E5A31">
        <w:rPr>
          <w:rFonts w:cs="Arial"/>
          <w:szCs w:val="22"/>
        </w:rPr>
        <w:t xml:space="preserve"> </w:t>
      </w:r>
      <w:r w:rsidR="00A673FC" w:rsidRPr="000E5A31">
        <w:rPr>
          <w:rFonts w:cs="Arial"/>
          <w:szCs w:val="22"/>
        </w:rPr>
        <w:t>G</w:t>
      </w:r>
      <w:r w:rsidR="00E9690D" w:rsidRPr="000E5A31">
        <w:rPr>
          <w:rFonts w:cs="Arial"/>
          <w:szCs w:val="22"/>
        </w:rPr>
        <w:t xml:space="preserve">W </w:t>
      </w:r>
      <w:r w:rsidR="00836D27" w:rsidRPr="000E5A31">
        <w:rPr>
          <w:rFonts w:cs="Arial"/>
          <w:szCs w:val="22"/>
        </w:rPr>
        <w:t xml:space="preserve">aus </w:t>
      </w:r>
      <w:r w:rsidR="00E9690D" w:rsidRPr="000E5A31">
        <w:rPr>
          <w:rFonts w:cs="Arial"/>
          <w:szCs w:val="22"/>
        </w:rPr>
        <w:t>RE (50% Wind</w:t>
      </w:r>
      <w:r w:rsidR="00A673FC" w:rsidRPr="000E5A31">
        <w:rPr>
          <w:rFonts w:cs="Arial"/>
          <w:szCs w:val="22"/>
        </w:rPr>
        <w:t>,</w:t>
      </w:r>
      <w:r w:rsidR="00E9690D" w:rsidRPr="000E5A31">
        <w:rPr>
          <w:rFonts w:cs="Arial"/>
          <w:szCs w:val="22"/>
        </w:rPr>
        <w:t xml:space="preserve"> 50% Solar) </w:t>
      </w:r>
      <w:r w:rsidR="00836D27" w:rsidRPr="000E5A31">
        <w:rPr>
          <w:rFonts w:cs="Arial"/>
          <w:szCs w:val="22"/>
        </w:rPr>
        <w:t>zu</w:t>
      </w:r>
      <w:r w:rsidR="00E9690D" w:rsidRPr="000E5A31">
        <w:rPr>
          <w:rFonts w:cs="Arial"/>
          <w:szCs w:val="22"/>
        </w:rPr>
        <w:t>bau</w:t>
      </w:r>
      <w:r w:rsidR="00836D27" w:rsidRPr="000E5A31">
        <w:rPr>
          <w:rFonts w:cs="Arial"/>
          <w:szCs w:val="22"/>
        </w:rPr>
        <w:t>en</w:t>
      </w:r>
      <w:r w:rsidR="00F37C81" w:rsidRPr="000E5A31">
        <w:rPr>
          <w:rFonts w:cs="Arial"/>
          <w:szCs w:val="22"/>
        </w:rPr>
        <w:t xml:space="preserve">. </w:t>
      </w:r>
      <w:r w:rsidR="00836D27" w:rsidRPr="000E5A31">
        <w:rPr>
          <w:rFonts w:cs="Arial"/>
          <w:szCs w:val="22"/>
        </w:rPr>
        <w:t xml:space="preserve">Eine entscheidende Rolle spielen hier </w:t>
      </w:r>
      <w:r w:rsidR="00F37C81" w:rsidRPr="000E5A31">
        <w:rPr>
          <w:rFonts w:cs="Arial"/>
          <w:szCs w:val="22"/>
        </w:rPr>
        <w:t xml:space="preserve">die neuen </w:t>
      </w:r>
      <w:r w:rsidR="00714B11" w:rsidRPr="000E5A31">
        <w:rPr>
          <w:rFonts w:cs="Arial"/>
          <w:szCs w:val="22"/>
        </w:rPr>
        <w:t>Einspeisetarife</w:t>
      </w:r>
      <w:r w:rsidR="00F37C81" w:rsidRPr="000E5A31">
        <w:rPr>
          <w:rFonts w:cs="Arial"/>
          <w:szCs w:val="22"/>
        </w:rPr>
        <w:t>, die im Oktober (Decree 1947/2014)</w:t>
      </w:r>
      <w:r w:rsidR="00C22A57" w:rsidRPr="000E5A31">
        <w:rPr>
          <w:rFonts w:cs="Arial"/>
          <w:szCs w:val="22"/>
        </w:rPr>
        <w:t xml:space="preserve"> verabschiedet worden waren</w:t>
      </w:r>
      <w:r w:rsidR="00F37C81" w:rsidRPr="000E5A31">
        <w:rPr>
          <w:rFonts w:cs="Arial"/>
          <w:szCs w:val="22"/>
        </w:rPr>
        <w:t>.</w:t>
      </w:r>
    </w:p>
    <w:p w:rsidR="00975547" w:rsidRPr="000E5A31" w:rsidRDefault="00D21D5F" w:rsidP="00DF5147">
      <w:pPr>
        <w:autoSpaceDE w:val="0"/>
        <w:autoSpaceDN w:val="0"/>
        <w:adjustRightInd w:val="0"/>
        <w:spacing w:after="120"/>
        <w:jc w:val="both"/>
        <w:rPr>
          <w:rFonts w:eastAsiaTheme="minorHAnsi" w:cs="Arial"/>
          <w:szCs w:val="22"/>
          <w:lang w:eastAsia="en-US"/>
        </w:rPr>
      </w:pPr>
      <w:r w:rsidRPr="000E5A31">
        <w:rPr>
          <w:rFonts w:eastAsiaTheme="minorHAnsi" w:cs="Arial"/>
          <w:szCs w:val="22"/>
          <w:lang w:eastAsia="en-US"/>
        </w:rPr>
        <w:lastRenderedPageBreak/>
        <w:t xml:space="preserve">Ein weiterhin großes </w:t>
      </w:r>
      <w:r w:rsidR="00EB367A" w:rsidRPr="000E5A31">
        <w:rPr>
          <w:rFonts w:eastAsiaTheme="minorHAnsi" w:cs="Arial"/>
          <w:szCs w:val="22"/>
          <w:lang w:eastAsia="en-US"/>
        </w:rPr>
        <w:t xml:space="preserve">Hindernis für eine </w:t>
      </w:r>
      <w:r w:rsidRPr="000E5A31">
        <w:rPr>
          <w:rFonts w:eastAsiaTheme="minorHAnsi" w:cs="Arial"/>
          <w:szCs w:val="22"/>
          <w:lang w:eastAsia="en-US"/>
        </w:rPr>
        <w:t xml:space="preserve">rasche und großflächige Nutzung von RE/EE stellen </w:t>
      </w:r>
      <w:r w:rsidR="00EB367A" w:rsidRPr="000E5A31">
        <w:rPr>
          <w:rFonts w:eastAsiaTheme="minorHAnsi" w:cs="Arial"/>
          <w:szCs w:val="22"/>
          <w:lang w:eastAsia="en-US"/>
        </w:rPr>
        <w:t xml:space="preserve">die nach wie vor </w:t>
      </w:r>
      <w:r w:rsidRPr="000E5A31">
        <w:rPr>
          <w:rFonts w:eastAsiaTheme="minorHAnsi" w:cs="Arial"/>
          <w:szCs w:val="22"/>
          <w:lang w:eastAsia="en-US"/>
        </w:rPr>
        <w:t>hohen S</w:t>
      </w:r>
      <w:r w:rsidR="00EB367A" w:rsidRPr="000E5A31">
        <w:rPr>
          <w:rFonts w:eastAsiaTheme="minorHAnsi" w:cs="Arial"/>
          <w:szCs w:val="22"/>
          <w:lang w:eastAsia="en-US"/>
        </w:rPr>
        <w:t xml:space="preserve">ubventionen </w:t>
      </w:r>
      <w:r w:rsidRPr="000E5A31">
        <w:rPr>
          <w:rFonts w:eastAsiaTheme="minorHAnsi" w:cs="Arial"/>
          <w:szCs w:val="22"/>
          <w:lang w:eastAsia="en-US"/>
        </w:rPr>
        <w:t xml:space="preserve">für fossile Energien dar. </w:t>
      </w:r>
      <w:r w:rsidR="004E220B" w:rsidRPr="000E5A31">
        <w:rPr>
          <w:rFonts w:eastAsiaTheme="minorHAnsi" w:cs="Arial"/>
          <w:szCs w:val="22"/>
          <w:lang w:eastAsia="en-US"/>
        </w:rPr>
        <w:t xml:space="preserve">Für das Jahr 2011 </w:t>
      </w:r>
      <w:r w:rsidRPr="000E5A31">
        <w:rPr>
          <w:rFonts w:eastAsiaTheme="minorHAnsi" w:cs="Arial"/>
          <w:szCs w:val="22"/>
          <w:lang w:eastAsia="en-US"/>
        </w:rPr>
        <w:t>schätzte der IWF die Gesamthöhe dieser Subventionen im MENA Raum auf 367 Mrd. US$, was 8,6% der Wirtschaftsleistung</w:t>
      </w:r>
      <w:r w:rsidR="004E220B" w:rsidRPr="000E5A31">
        <w:rPr>
          <w:rFonts w:eastAsiaTheme="minorHAnsi" w:cs="Arial"/>
          <w:szCs w:val="22"/>
          <w:lang w:eastAsia="en-US"/>
        </w:rPr>
        <w:t>,</w:t>
      </w:r>
      <w:r w:rsidRPr="000E5A31">
        <w:rPr>
          <w:rFonts w:eastAsiaTheme="minorHAnsi" w:cs="Arial"/>
          <w:szCs w:val="22"/>
          <w:lang w:eastAsia="en-US"/>
        </w:rPr>
        <w:t xml:space="preserve"> 22% der Staatseinnahmen und 48% der Gesamtsubventionen im Weltmaßstab </w:t>
      </w:r>
      <w:r w:rsidR="004E220B" w:rsidRPr="000E5A31">
        <w:rPr>
          <w:rFonts w:eastAsiaTheme="minorHAnsi" w:cs="Arial"/>
          <w:szCs w:val="22"/>
          <w:lang w:eastAsia="en-US"/>
        </w:rPr>
        <w:t>entsprach</w:t>
      </w:r>
      <w:r w:rsidRPr="000E5A31">
        <w:rPr>
          <w:rFonts w:eastAsiaTheme="minorHAnsi" w:cs="Arial"/>
          <w:szCs w:val="22"/>
          <w:lang w:eastAsia="en-US"/>
        </w:rPr>
        <w:t xml:space="preserve">. Allerdings wuchs infolge der dramatischen Verschlechterung der wirtschaftlichen und haushaltspolitischen </w:t>
      </w:r>
      <w:r w:rsidR="00A673FC" w:rsidRPr="000E5A31">
        <w:rPr>
          <w:rFonts w:eastAsiaTheme="minorHAnsi" w:cs="Arial"/>
          <w:szCs w:val="22"/>
          <w:lang w:eastAsia="en-US"/>
        </w:rPr>
        <w:t xml:space="preserve">Lage </w:t>
      </w:r>
      <w:r w:rsidR="00FC0BB3">
        <w:rPr>
          <w:rFonts w:eastAsiaTheme="minorHAnsi" w:cs="Arial"/>
          <w:szCs w:val="22"/>
          <w:lang w:eastAsia="en-US"/>
        </w:rPr>
        <w:t>vieler</w:t>
      </w:r>
      <w:r w:rsidRPr="000E5A31">
        <w:rPr>
          <w:rFonts w:eastAsiaTheme="minorHAnsi" w:cs="Arial"/>
          <w:szCs w:val="22"/>
          <w:lang w:eastAsia="en-US"/>
        </w:rPr>
        <w:t xml:space="preserve"> Länder</w:t>
      </w:r>
      <w:r w:rsidR="00A673FC" w:rsidRPr="000E5A31">
        <w:rPr>
          <w:rFonts w:eastAsiaTheme="minorHAnsi" w:cs="Arial"/>
          <w:szCs w:val="22"/>
          <w:lang w:eastAsia="en-US"/>
        </w:rPr>
        <w:t xml:space="preserve"> seitdem</w:t>
      </w:r>
      <w:r w:rsidRPr="000E5A31">
        <w:rPr>
          <w:rFonts w:eastAsiaTheme="minorHAnsi" w:cs="Arial"/>
          <w:szCs w:val="22"/>
          <w:lang w:eastAsia="en-US"/>
        </w:rPr>
        <w:t xml:space="preserve"> der Druck, </w:t>
      </w:r>
      <w:r w:rsidR="00A673FC" w:rsidRPr="000E5A31">
        <w:rPr>
          <w:rFonts w:eastAsiaTheme="minorHAnsi" w:cs="Arial"/>
          <w:szCs w:val="22"/>
          <w:lang w:eastAsia="en-US"/>
        </w:rPr>
        <w:t>hieran e</w:t>
      </w:r>
      <w:r w:rsidR="00A673FC" w:rsidRPr="000E5A31">
        <w:rPr>
          <w:rFonts w:eastAsiaTheme="minorHAnsi" w:cs="Arial"/>
          <w:szCs w:val="22"/>
          <w:lang w:eastAsia="en-US"/>
        </w:rPr>
        <w:t>t</w:t>
      </w:r>
      <w:r w:rsidR="00A673FC" w:rsidRPr="000E5A31">
        <w:rPr>
          <w:rFonts w:eastAsiaTheme="minorHAnsi" w:cs="Arial"/>
          <w:szCs w:val="22"/>
          <w:lang w:eastAsia="en-US"/>
        </w:rPr>
        <w:t>was zu ändern</w:t>
      </w:r>
      <w:r w:rsidRPr="000E5A31">
        <w:rPr>
          <w:rFonts w:eastAsiaTheme="minorHAnsi" w:cs="Arial"/>
          <w:szCs w:val="22"/>
          <w:lang w:eastAsia="en-US"/>
        </w:rPr>
        <w:t>.</w:t>
      </w:r>
      <w:r w:rsidR="00E12431" w:rsidRPr="000E5A31">
        <w:rPr>
          <w:rFonts w:eastAsiaTheme="minorHAnsi" w:cs="Arial"/>
          <w:szCs w:val="22"/>
          <w:lang w:eastAsia="en-US"/>
        </w:rPr>
        <w:t xml:space="preserve"> </w:t>
      </w:r>
      <w:r w:rsidR="006F05D9" w:rsidRPr="000E5A31">
        <w:rPr>
          <w:rFonts w:eastAsiaTheme="minorHAnsi" w:cs="Arial"/>
          <w:szCs w:val="22"/>
          <w:lang w:eastAsia="en-US"/>
        </w:rPr>
        <w:t>(</w:t>
      </w:r>
      <w:r w:rsidR="00A673FC" w:rsidRPr="000E5A31">
        <w:rPr>
          <w:rFonts w:eastAsiaTheme="minorHAnsi" w:cs="Arial"/>
          <w:szCs w:val="22"/>
          <w:lang w:eastAsia="en-US"/>
        </w:rPr>
        <w:t xml:space="preserve">NB: </w:t>
      </w:r>
      <w:r w:rsidR="006F05D9" w:rsidRPr="000E5A31">
        <w:rPr>
          <w:rFonts w:eastAsiaTheme="minorHAnsi" w:cs="Arial"/>
          <w:szCs w:val="22"/>
          <w:lang w:eastAsia="en-US"/>
        </w:rPr>
        <w:t xml:space="preserve">In allen drei Fokusländern von RE-ACTIVATE ist der </w:t>
      </w:r>
      <w:r w:rsidR="006F05D9" w:rsidRPr="000E5A31">
        <w:rPr>
          <w:rFonts w:cs="Arial"/>
          <w:szCs w:val="22"/>
        </w:rPr>
        <w:t>starke Anstieg der Energieimporte Hauptverursacher des L</w:t>
      </w:r>
      <w:r w:rsidR="006F05D9" w:rsidRPr="000E5A31">
        <w:rPr>
          <w:rFonts w:eastAsiaTheme="minorHAnsi" w:cs="Arial"/>
          <w:szCs w:val="22"/>
          <w:lang w:eastAsia="en-US"/>
        </w:rPr>
        <w:t>eistungsbilanzdefizits</w:t>
      </w:r>
      <w:r w:rsidR="00C22A57" w:rsidRPr="000E5A31">
        <w:rPr>
          <w:rFonts w:eastAsiaTheme="minorHAnsi" w:cs="Arial"/>
          <w:szCs w:val="22"/>
          <w:lang w:eastAsia="en-US"/>
        </w:rPr>
        <w:t>; die staatlichen Versorger sind allesamt überschuldet und strukturell bankrott, was die internationale Kreditaufnahme für die dringend notwendige Modernisierung und Erweiterung der Erzeugungs- und Übertragung</w:t>
      </w:r>
      <w:r w:rsidR="00C22A57" w:rsidRPr="000E5A31">
        <w:rPr>
          <w:rFonts w:eastAsiaTheme="minorHAnsi" w:cs="Arial"/>
          <w:szCs w:val="22"/>
          <w:lang w:eastAsia="en-US"/>
        </w:rPr>
        <w:t>s</w:t>
      </w:r>
      <w:r w:rsidR="00C22A57" w:rsidRPr="000E5A31">
        <w:rPr>
          <w:rFonts w:eastAsiaTheme="minorHAnsi" w:cs="Arial"/>
          <w:szCs w:val="22"/>
          <w:lang w:eastAsia="en-US"/>
        </w:rPr>
        <w:t>infrastruktur im Strom- und Wärmebereich erheblich erschwert</w:t>
      </w:r>
      <w:r w:rsidR="006F05D9" w:rsidRPr="000E5A31">
        <w:rPr>
          <w:rFonts w:cs="Arial"/>
          <w:szCs w:val="22"/>
        </w:rPr>
        <w:t>.)</w:t>
      </w:r>
      <w:r w:rsidR="006F05D9" w:rsidRPr="000E5A31">
        <w:rPr>
          <w:rFonts w:eastAsiaTheme="minorHAnsi" w:cs="Arial"/>
          <w:szCs w:val="22"/>
          <w:lang w:eastAsia="en-US"/>
        </w:rPr>
        <w:t xml:space="preserve"> </w:t>
      </w:r>
      <w:r w:rsidR="00975547" w:rsidRPr="000E5A31">
        <w:rPr>
          <w:rFonts w:eastAsiaTheme="minorHAnsi" w:cs="Arial"/>
          <w:szCs w:val="22"/>
          <w:lang w:eastAsia="en-US"/>
        </w:rPr>
        <w:t xml:space="preserve">Ägypten und Tunesien </w:t>
      </w:r>
      <w:r w:rsidR="00A673FC" w:rsidRPr="000E5A31">
        <w:rPr>
          <w:rFonts w:eastAsiaTheme="minorHAnsi" w:cs="Arial"/>
          <w:szCs w:val="22"/>
          <w:lang w:eastAsia="en-US"/>
        </w:rPr>
        <w:t>i</w:t>
      </w:r>
      <w:r w:rsidR="00A673FC" w:rsidRPr="000E5A31">
        <w:rPr>
          <w:rFonts w:eastAsiaTheme="minorHAnsi" w:cs="Arial"/>
          <w:szCs w:val="22"/>
          <w:lang w:eastAsia="en-US"/>
        </w:rPr>
        <w:t>h</w:t>
      </w:r>
      <w:r w:rsidR="00A673FC" w:rsidRPr="000E5A31">
        <w:rPr>
          <w:rFonts w:eastAsiaTheme="minorHAnsi" w:cs="Arial"/>
          <w:szCs w:val="22"/>
          <w:lang w:eastAsia="en-US"/>
        </w:rPr>
        <w:t xml:space="preserve">rerseits </w:t>
      </w:r>
      <w:r w:rsidR="00975547" w:rsidRPr="000E5A31">
        <w:rPr>
          <w:rFonts w:eastAsiaTheme="minorHAnsi" w:cs="Arial"/>
          <w:szCs w:val="22"/>
          <w:lang w:eastAsia="en-US"/>
        </w:rPr>
        <w:t xml:space="preserve">leiden unter einer stark rückläufigen Förderung von Erdöl und Erdgas, was sich in rasch wachsenden Defiziten </w:t>
      </w:r>
      <w:r w:rsidR="00A673FC" w:rsidRPr="000E5A31">
        <w:rPr>
          <w:rFonts w:eastAsiaTheme="minorHAnsi" w:cs="Arial"/>
          <w:szCs w:val="22"/>
          <w:lang w:eastAsia="en-US"/>
        </w:rPr>
        <w:t xml:space="preserve">v.a. </w:t>
      </w:r>
      <w:r w:rsidR="00975547" w:rsidRPr="000E5A31">
        <w:rPr>
          <w:rFonts w:eastAsiaTheme="minorHAnsi" w:cs="Arial"/>
          <w:szCs w:val="22"/>
          <w:lang w:eastAsia="en-US"/>
        </w:rPr>
        <w:t>bei der Strom- und Wärmeproduktion niederschlägt. Die ohnehin krisenhafte Wirtschaftslage in beiden Länder</w:t>
      </w:r>
      <w:r w:rsidR="0096777C" w:rsidRPr="000E5A31">
        <w:rPr>
          <w:rFonts w:eastAsiaTheme="minorHAnsi" w:cs="Arial"/>
          <w:szCs w:val="22"/>
          <w:lang w:eastAsia="en-US"/>
        </w:rPr>
        <w:t>n</w:t>
      </w:r>
      <w:r w:rsidR="00975547" w:rsidRPr="000E5A31">
        <w:rPr>
          <w:rFonts w:eastAsiaTheme="minorHAnsi" w:cs="Arial"/>
          <w:szCs w:val="22"/>
          <w:lang w:eastAsia="en-US"/>
        </w:rPr>
        <w:t xml:space="preserve"> w</w:t>
      </w:r>
      <w:r w:rsidR="00A673FC" w:rsidRPr="000E5A31">
        <w:rPr>
          <w:rFonts w:eastAsiaTheme="minorHAnsi" w:cs="Arial"/>
          <w:szCs w:val="22"/>
          <w:lang w:eastAsia="en-US"/>
        </w:rPr>
        <w:t>i</w:t>
      </w:r>
      <w:r w:rsidR="00975547" w:rsidRPr="000E5A31">
        <w:rPr>
          <w:rFonts w:eastAsiaTheme="minorHAnsi" w:cs="Arial"/>
          <w:szCs w:val="22"/>
          <w:lang w:eastAsia="en-US"/>
        </w:rPr>
        <w:t>rd dadurch weiter verschärft.</w:t>
      </w:r>
    </w:p>
    <w:p w:rsidR="00EB367A" w:rsidRPr="000E5A31" w:rsidRDefault="00DF5147" w:rsidP="00DF5147">
      <w:pPr>
        <w:autoSpaceDE w:val="0"/>
        <w:autoSpaceDN w:val="0"/>
        <w:adjustRightInd w:val="0"/>
        <w:spacing w:after="120"/>
        <w:jc w:val="both"/>
        <w:rPr>
          <w:rFonts w:eastAsiaTheme="minorHAnsi" w:cs="Arial"/>
          <w:szCs w:val="22"/>
          <w:lang w:eastAsia="en-US"/>
        </w:rPr>
      </w:pPr>
      <w:r w:rsidRPr="000E5A31">
        <w:rPr>
          <w:rFonts w:eastAsiaTheme="minorHAnsi" w:cs="Arial"/>
          <w:szCs w:val="22"/>
          <w:lang w:eastAsia="en-US"/>
        </w:rPr>
        <w:t xml:space="preserve">In Marokko wurden die Strompreise für Endverbraucher </w:t>
      </w:r>
      <w:r w:rsidR="00A673FC" w:rsidRPr="000E5A31">
        <w:rPr>
          <w:rFonts w:eastAsiaTheme="minorHAnsi" w:cs="Arial"/>
          <w:szCs w:val="22"/>
          <w:lang w:eastAsia="en-US"/>
        </w:rPr>
        <w:t xml:space="preserve">seit 2014 </w:t>
      </w:r>
      <w:r w:rsidRPr="000E5A31">
        <w:rPr>
          <w:rFonts w:eastAsiaTheme="minorHAnsi" w:cs="Arial"/>
          <w:szCs w:val="22"/>
          <w:lang w:eastAsia="en-US"/>
        </w:rPr>
        <w:t>sukzessive angehoben, die Subventionen auf Diesel und Benzin wurden ganz aufgehoben. Eine Reduktion der Su</w:t>
      </w:r>
      <w:r w:rsidRPr="000E5A31">
        <w:rPr>
          <w:rFonts w:eastAsiaTheme="minorHAnsi" w:cs="Arial"/>
          <w:szCs w:val="22"/>
          <w:lang w:eastAsia="en-US"/>
        </w:rPr>
        <w:t>b</w:t>
      </w:r>
      <w:r w:rsidRPr="000E5A31">
        <w:rPr>
          <w:rFonts w:eastAsiaTheme="minorHAnsi" w:cs="Arial"/>
          <w:szCs w:val="22"/>
          <w:lang w:eastAsia="en-US"/>
        </w:rPr>
        <w:t>ventionen für Bhutan w</w:t>
      </w:r>
      <w:r w:rsidR="006F05D9" w:rsidRPr="000E5A31">
        <w:rPr>
          <w:rFonts w:eastAsiaTheme="minorHAnsi" w:cs="Arial"/>
          <w:szCs w:val="22"/>
          <w:lang w:eastAsia="en-US"/>
        </w:rPr>
        <w:t>i</w:t>
      </w:r>
      <w:r w:rsidRPr="000E5A31">
        <w:rPr>
          <w:rFonts w:eastAsiaTheme="minorHAnsi" w:cs="Arial"/>
          <w:szCs w:val="22"/>
          <w:lang w:eastAsia="en-US"/>
        </w:rPr>
        <w:t xml:space="preserve">rd dagegen noch diskutiert. </w:t>
      </w:r>
      <w:r w:rsidR="006F05D9" w:rsidRPr="000E5A31">
        <w:rPr>
          <w:rFonts w:eastAsiaTheme="minorHAnsi" w:cs="Arial"/>
          <w:szCs w:val="22"/>
          <w:lang w:eastAsia="en-US"/>
        </w:rPr>
        <w:t xml:space="preserve">In Tunesien </w:t>
      </w:r>
      <w:r w:rsidR="006F05D9" w:rsidRPr="000E5A31">
        <w:rPr>
          <w:rFonts w:cs="Arial"/>
          <w:szCs w:val="22"/>
        </w:rPr>
        <w:t xml:space="preserve">wurden </w:t>
      </w:r>
      <w:r w:rsidR="00DA7EE9" w:rsidRPr="000E5A31">
        <w:rPr>
          <w:rFonts w:cs="Arial"/>
          <w:szCs w:val="22"/>
        </w:rPr>
        <w:t xml:space="preserve">seit </w:t>
      </w:r>
      <w:r w:rsidR="006F05D9" w:rsidRPr="000E5A31">
        <w:rPr>
          <w:rFonts w:cs="Arial"/>
          <w:szCs w:val="22"/>
        </w:rPr>
        <w:t xml:space="preserve">2014 die Gas- und Strompreise </w:t>
      </w:r>
      <w:r w:rsidR="00DA7EE9" w:rsidRPr="000E5A31">
        <w:rPr>
          <w:rFonts w:cs="Arial"/>
          <w:szCs w:val="22"/>
        </w:rPr>
        <w:t>um über 25</w:t>
      </w:r>
      <w:r w:rsidR="006F05D9" w:rsidRPr="000E5A31">
        <w:rPr>
          <w:rFonts w:cs="Arial"/>
          <w:szCs w:val="22"/>
        </w:rPr>
        <w:t>% erhöht. Energieintensive Industrieunternehmen zahlen mit</w:t>
      </w:r>
      <w:r w:rsidR="006F05D9" w:rsidRPr="000E5A31">
        <w:rPr>
          <w:rFonts w:cs="Arial"/>
          <w:szCs w:val="22"/>
        </w:rPr>
        <w:t>t</w:t>
      </w:r>
      <w:r w:rsidR="006F05D9" w:rsidRPr="000E5A31">
        <w:rPr>
          <w:rFonts w:cs="Arial"/>
          <w:szCs w:val="22"/>
        </w:rPr>
        <w:t xml:space="preserve">lerweile </w:t>
      </w:r>
      <w:r w:rsidR="00B73F2E" w:rsidRPr="000E5A31">
        <w:rPr>
          <w:rFonts w:cs="Arial"/>
          <w:szCs w:val="22"/>
        </w:rPr>
        <w:t xml:space="preserve">reale </w:t>
      </w:r>
      <w:r w:rsidR="00DA7EE9" w:rsidRPr="000E5A31">
        <w:rPr>
          <w:rFonts w:cs="Arial"/>
          <w:szCs w:val="22"/>
        </w:rPr>
        <w:t>P</w:t>
      </w:r>
      <w:r w:rsidR="00B73F2E" w:rsidRPr="000E5A31">
        <w:rPr>
          <w:rFonts w:cs="Arial"/>
          <w:szCs w:val="22"/>
        </w:rPr>
        <w:t>reise</w:t>
      </w:r>
      <w:r w:rsidR="006F05D9" w:rsidRPr="000E5A31">
        <w:rPr>
          <w:rFonts w:cs="Arial"/>
          <w:szCs w:val="22"/>
        </w:rPr>
        <w:t xml:space="preserve">. </w:t>
      </w:r>
      <w:r w:rsidR="0055032A" w:rsidRPr="000E5A31">
        <w:rPr>
          <w:rFonts w:cs="Arial"/>
          <w:szCs w:val="22"/>
        </w:rPr>
        <w:t>Auch in Ägypten wur</w:t>
      </w:r>
      <w:r w:rsidR="00B73F2E" w:rsidRPr="000E5A31">
        <w:rPr>
          <w:rFonts w:cs="Arial"/>
          <w:szCs w:val="22"/>
        </w:rPr>
        <w:t xml:space="preserve">den </w:t>
      </w:r>
      <w:r w:rsidR="0055032A" w:rsidRPr="000E5A31">
        <w:rPr>
          <w:rFonts w:cs="Arial"/>
          <w:szCs w:val="22"/>
        </w:rPr>
        <w:t>2014 die Preise für Treibstoff und Strom sign</w:t>
      </w:r>
      <w:r w:rsidR="0055032A" w:rsidRPr="000E5A31">
        <w:rPr>
          <w:rFonts w:cs="Arial"/>
          <w:szCs w:val="22"/>
        </w:rPr>
        <w:t>i</w:t>
      </w:r>
      <w:r w:rsidR="0055032A" w:rsidRPr="000E5A31">
        <w:rPr>
          <w:rFonts w:cs="Arial"/>
          <w:szCs w:val="22"/>
        </w:rPr>
        <w:t>fikant erhöht</w:t>
      </w:r>
      <w:r w:rsidR="00DA7EE9" w:rsidRPr="000E5A31">
        <w:rPr>
          <w:rFonts w:cs="Arial"/>
          <w:szCs w:val="22"/>
        </w:rPr>
        <w:t xml:space="preserve"> und</w:t>
      </w:r>
      <w:r w:rsidR="0055032A" w:rsidRPr="000E5A31">
        <w:rPr>
          <w:rFonts w:cs="Arial"/>
          <w:szCs w:val="22"/>
        </w:rPr>
        <w:t xml:space="preserve"> Subventionen für </w:t>
      </w:r>
      <w:r w:rsidR="00836D27" w:rsidRPr="000E5A31">
        <w:rPr>
          <w:rFonts w:cs="Arial"/>
          <w:szCs w:val="22"/>
        </w:rPr>
        <w:t xml:space="preserve">energieintensive Industrien </w:t>
      </w:r>
      <w:r w:rsidR="00DA7EE9" w:rsidRPr="000E5A31">
        <w:rPr>
          <w:rFonts w:cs="Arial"/>
          <w:szCs w:val="22"/>
        </w:rPr>
        <w:t xml:space="preserve">massiv </w:t>
      </w:r>
      <w:r w:rsidR="0055032A" w:rsidRPr="000E5A31">
        <w:rPr>
          <w:rFonts w:cs="Arial"/>
          <w:szCs w:val="22"/>
        </w:rPr>
        <w:t xml:space="preserve">gekürzt. </w:t>
      </w:r>
      <w:r w:rsidR="00836D27" w:rsidRPr="000E5A31">
        <w:rPr>
          <w:rFonts w:cs="Arial"/>
          <w:szCs w:val="22"/>
        </w:rPr>
        <w:t xml:space="preserve">Allerdings sind </w:t>
      </w:r>
      <w:r w:rsidR="0055032A" w:rsidRPr="000E5A31">
        <w:rPr>
          <w:rFonts w:cs="Arial"/>
          <w:szCs w:val="22"/>
        </w:rPr>
        <w:t xml:space="preserve">die Energiepreise </w:t>
      </w:r>
      <w:r w:rsidR="00E9690D" w:rsidRPr="000E5A31">
        <w:rPr>
          <w:rFonts w:cs="Arial"/>
          <w:szCs w:val="22"/>
        </w:rPr>
        <w:t xml:space="preserve">im weltweiten Vergleich </w:t>
      </w:r>
      <w:r w:rsidR="0055032A" w:rsidRPr="000E5A31">
        <w:rPr>
          <w:rFonts w:cs="Arial"/>
          <w:szCs w:val="22"/>
        </w:rPr>
        <w:t xml:space="preserve">immer noch </w:t>
      </w:r>
      <w:r w:rsidR="00836D27" w:rsidRPr="000E5A31">
        <w:rPr>
          <w:rFonts w:cs="Arial"/>
          <w:szCs w:val="22"/>
        </w:rPr>
        <w:t>sehr niedrig</w:t>
      </w:r>
      <w:r w:rsidR="00E9690D" w:rsidRPr="000E5A31">
        <w:rPr>
          <w:rFonts w:cs="Arial"/>
          <w:szCs w:val="22"/>
        </w:rPr>
        <w:t>.</w:t>
      </w:r>
      <w:r w:rsidR="0055032A" w:rsidRPr="000E5A31">
        <w:rPr>
          <w:rFonts w:cs="Arial"/>
          <w:szCs w:val="22"/>
        </w:rPr>
        <w:t xml:space="preserve"> </w:t>
      </w:r>
      <w:r w:rsidR="00E12431" w:rsidRPr="000E5A31">
        <w:rPr>
          <w:rFonts w:eastAsiaTheme="minorHAnsi" w:cs="Arial"/>
          <w:szCs w:val="22"/>
          <w:lang w:eastAsia="en-US"/>
        </w:rPr>
        <w:t xml:space="preserve">Durch </w:t>
      </w:r>
      <w:r w:rsidR="0055032A" w:rsidRPr="000E5A31">
        <w:rPr>
          <w:rFonts w:eastAsiaTheme="minorHAnsi" w:cs="Arial"/>
          <w:szCs w:val="22"/>
          <w:lang w:eastAsia="en-US"/>
        </w:rPr>
        <w:t xml:space="preserve">all diese Entwicklungen </w:t>
      </w:r>
      <w:r w:rsidR="00E12431" w:rsidRPr="000E5A31">
        <w:rPr>
          <w:rFonts w:eastAsiaTheme="minorHAnsi" w:cs="Arial"/>
          <w:szCs w:val="22"/>
          <w:lang w:eastAsia="en-US"/>
        </w:rPr>
        <w:t>verringerte</w:t>
      </w:r>
      <w:r w:rsidR="0055032A" w:rsidRPr="000E5A31">
        <w:rPr>
          <w:rFonts w:eastAsiaTheme="minorHAnsi" w:cs="Arial"/>
          <w:szCs w:val="22"/>
          <w:lang w:eastAsia="en-US"/>
        </w:rPr>
        <w:t>n</w:t>
      </w:r>
      <w:r w:rsidR="00E12431" w:rsidRPr="000E5A31">
        <w:rPr>
          <w:rFonts w:eastAsiaTheme="minorHAnsi" w:cs="Arial"/>
          <w:szCs w:val="22"/>
          <w:lang w:eastAsia="en-US"/>
        </w:rPr>
        <w:t xml:space="preserve"> sich </w:t>
      </w:r>
      <w:r w:rsidR="0055032A" w:rsidRPr="000E5A31">
        <w:rPr>
          <w:rFonts w:eastAsiaTheme="minorHAnsi" w:cs="Arial"/>
          <w:szCs w:val="22"/>
          <w:lang w:eastAsia="en-US"/>
        </w:rPr>
        <w:t xml:space="preserve">jedoch </w:t>
      </w:r>
      <w:r w:rsidR="00B73F2E" w:rsidRPr="000E5A31">
        <w:rPr>
          <w:rFonts w:eastAsiaTheme="minorHAnsi" w:cs="Arial"/>
          <w:szCs w:val="22"/>
          <w:lang w:eastAsia="en-US"/>
        </w:rPr>
        <w:t xml:space="preserve">(weit schneller als </w:t>
      </w:r>
      <w:r w:rsidR="00E12431" w:rsidRPr="000E5A31">
        <w:rPr>
          <w:rFonts w:eastAsiaTheme="minorHAnsi" w:cs="Arial"/>
          <w:szCs w:val="22"/>
          <w:lang w:eastAsia="en-US"/>
        </w:rPr>
        <w:t>erwartet) die Wettbewerbsverze</w:t>
      </w:r>
      <w:r w:rsidR="00E12431" w:rsidRPr="000E5A31">
        <w:rPr>
          <w:rFonts w:eastAsiaTheme="minorHAnsi" w:cs="Arial"/>
          <w:szCs w:val="22"/>
          <w:lang w:eastAsia="en-US"/>
        </w:rPr>
        <w:t>r</w:t>
      </w:r>
      <w:r w:rsidR="00E12431" w:rsidRPr="000E5A31">
        <w:rPr>
          <w:rFonts w:eastAsiaTheme="minorHAnsi" w:cs="Arial"/>
          <w:szCs w:val="22"/>
          <w:lang w:eastAsia="en-US"/>
        </w:rPr>
        <w:t xml:space="preserve">rungen zulasten nachhaltiger Energien. </w:t>
      </w:r>
      <w:r w:rsidR="00DA7EE9" w:rsidRPr="000E5A31">
        <w:rPr>
          <w:rFonts w:eastAsiaTheme="minorHAnsi" w:cs="Arial"/>
          <w:szCs w:val="22"/>
          <w:lang w:eastAsia="en-US"/>
        </w:rPr>
        <w:t xml:space="preserve">Es </w:t>
      </w:r>
      <w:r w:rsidR="00E12431" w:rsidRPr="000E5A31">
        <w:rPr>
          <w:rFonts w:eastAsiaTheme="minorHAnsi" w:cs="Arial"/>
          <w:szCs w:val="22"/>
          <w:lang w:eastAsia="en-US"/>
        </w:rPr>
        <w:t>en</w:t>
      </w:r>
      <w:r w:rsidR="00B73F2E" w:rsidRPr="000E5A31">
        <w:rPr>
          <w:rFonts w:eastAsiaTheme="minorHAnsi" w:cs="Arial"/>
          <w:szCs w:val="22"/>
          <w:lang w:eastAsia="en-US"/>
        </w:rPr>
        <w:t>t</w:t>
      </w:r>
      <w:r w:rsidR="00E12431" w:rsidRPr="000E5A31">
        <w:rPr>
          <w:rFonts w:eastAsiaTheme="minorHAnsi" w:cs="Arial"/>
          <w:szCs w:val="22"/>
          <w:lang w:eastAsia="en-US"/>
        </w:rPr>
        <w:t xml:space="preserve">stehen </w:t>
      </w:r>
      <w:r w:rsidR="00DA7EE9" w:rsidRPr="000E5A31">
        <w:rPr>
          <w:rFonts w:eastAsiaTheme="minorHAnsi" w:cs="Arial"/>
          <w:szCs w:val="22"/>
          <w:lang w:eastAsia="en-US"/>
        </w:rPr>
        <w:t xml:space="preserve">immer mehr </w:t>
      </w:r>
      <w:r w:rsidR="00B73F2E" w:rsidRPr="000E5A31">
        <w:rPr>
          <w:rFonts w:eastAsiaTheme="minorHAnsi" w:cs="Arial"/>
          <w:szCs w:val="22"/>
          <w:lang w:eastAsia="en-US"/>
        </w:rPr>
        <w:t>N</w:t>
      </w:r>
      <w:r w:rsidR="00E12431" w:rsidRPr="000E5A31">
        <w:rPr>
          <w:rFonts w:eastAsiaTheme="minorHAnsi" w:cs="Arial"/>
          <w:szCs w:val="22"/>
          <w:lang w:eastAsia="en-US"/>
        </w:rPr>
        <w:t xml:space="preserve">ischen, in denen </w:t>
      </w:r>
      <w:r w:rsidR="00DA7EE9" w:rsidRPr="000E5A31">
        <w:rPr>
          <w:rFonts w:eastAsiaTheme="minorHAnsi" w:cs="Arial"/>
          <w:szCs w:val="22"/>
          <w:lang w:eastAsia="en-US"/>
        </w:rPr>
        <w:t xml:space="preserve">diese </w:t>
      </w:r>
      <w:r w:rsidR="00E12431" w:rsidRPr="000E5A31">
        <w:rPr>
          <w:rFonts w:eastAsiaTheme="minorHAnsi" w:cs="Arial"/>
          <w:szCs w:val="22"/>
          <w:lang w:eastAsia="en-US"/>
        </w:rPr>
        <w:t>gegenüb</w:t>
      </w:r>
      <w:r w:rsidR="00B73F2E" w:rsidRPr="000E5A31">
        <w:rPr>
          <w:rFonts w:eastAsiaTheme="minorHAnsi" w:cs="Arial"/>
          <w:szCs w:val="22"/>
          <w:lang w:eastAsia="en-US"/>
        </w:rPr>
        <w:t xml:space="preserve">er fossilen Energiequellen </w:t>
      </w:r>
      <w:r w:rsidR="00E12431" w:rsidRPr="000E5A31">
        <w:rPr>
          <w:rFonts w:eastAsiaTheme="minorHAnsi" w:cs="Arial"/>
          <w:szCs w:val="22"/>
          <w:lang w:eastAsia="en-US"/>
        </w:rPr>
        <w:t>wettbewerbsfähig sind oder bald sein werden.</w:t>
      </w:r>
    </w:p>
    <w:p w:rsidR="00152F16" w:rsidRPr="000E5A31" w:rsidRDefault="00E12431" w:rsidP="00EB367A">
      <w:pPr>
        <w:autoSpaceDE w:val="0"/>
        <w:autoSpaceDN w:val="0"/>
        <w:adjustRightInd w:val="0"/>
        <w:spacing w:after="120"/>
        <w:jc w:val="both"/>
        <w:rPr>
          <w:rFonts w:eastAsiaTheme="minorHAnsi" w:cs="Arial"/>
          <w:szCs w:val="22"/>
          <w:lang w:eastAsia="en-US"/>
        </w:rPr>
      </w:pPr>
      <w:r w:rsidRPr="000E5A31">
        <w:rPr>
          <w:rFonts w:eastAsiaTheme="minorHAnsi" w:cs="Arial"/>
          <w:szCs w:val="22"/>
          <w:lang w:eastAsia="en-US"/>
        </w:rPr>
        <w:t xml:space="preserve">Allerdings ist zu beachten, dass es weiterhin erhebliche Widerstände gibt, die v.a. von den etablierten staatlichen Monopolisten ausgehen. Nur sind diese Hürden heute oft nicht mehr so sehr pekuniärer Natur, sondern sie bestehen in der Verweigerung des Netz- </w:t>
      </w:r>
      <w:r w:rsidR="0003767F" w:rsidRPr="000E5A31">
        <w:rPr>
          <w:rFonts w:eastAsiaTheme="minorHAnsi" w:cs="Arial"/>
          <w:szCs w:val="22"/>
          <w:lang w:eastAsia="en-US"/>
        </w:rPr>
        <w:t xml:space="preserve">und damit auch des Marktzugangs. </w:t>
      </w:r>
      <w:r w:rsidR="00152F16" w:rsidRPr="000E5A31">
        <w:rPr>
          <w:rFonts w:eastAsiaTheme="minorHAnsi" w:cs="Arial"/>
          <w:szCs w:val="22"/>
          <w:lang w:eastAsia="en-US"/>
        </w:rPr>
        <w:t>Dies wird im Falle Marokkos besonders deutlich, wo seit vielen Ja</w:t>
      </w:r>
      <w:r w:rsidR="00152F16" w:rsidRPr="000E5A31">
        <w:rPr>
          <w:rFonts w:eastAsiaTheme="minorHAnsi" w:cs="Arial"/>
          <w:szCs w:val="22"/>
          <w:lang w:eastAsia="en-US"/>
        </w:rPr>
        <w:t>h</w:t>
      </w:r>
      <w:r w:rsidR="00152F16" w:rsidRPr="000E5A31">
        <w:rPr>
          <w:rFonts w:eastAsiaTheme="minorHAnsi" w:cs="Arial"/>
          <w:szCs w:val="22"/>
          <w:lang w:eastAsia="en-US"/>
        </w:rPr>
        <w:t>re</w:t>
      </w:r>
      <w:r w:rsidR="00B73F2E" w:rsidRPr="000E5A31">
        <w:rPr>
          <w:rFonts w:eastAsiaTheme="minorHAnsi" w:cs="Arial"/>
          <w:szCs w:val="22"/>
          <w:lang w:eastAsia="en-US"/>
        </w:rPr>
        <w:t>n</w:t>
      </w:r>
      <w:r w:rsidR="00152F16" w:rsidRPr="000E5A31">
        <w:rPr>
          <w:rFonts w:eastAsiaTheme="minorHAnsi" w:cs="Arial"/>
          <w:szCs w:val="22"/>
          <w:lang w:eastAsia="en-US"/>
        </w:rPr>
        <w:t xml:space="preserve"> die Öffnung d</w:t>
      </w:r>
      <w:r w:rsidR="00B73F2E" w:rsidRPr="000E5A31">
        <w:rPr>
          <w:rFonts w:eastAsiaTheme="minorHAnsi" w:cs="Arial"/>
          <w:szCs w:val="22"/>
          <w:lang w:eastAsia="en-US"/>
        </w:rPr>
        <w:t>es</w:t>
      </w:r>
      <w:r w:rsidR="00152F16" w:rsidRPr="000E5A31">
        <w:rPr>
          <w:rFonts w:eastAsiaTheme="minorHAnsi" w:cs="Arial"/>
          <w:szCs w:val="22"/>
          <w:lang w:eastAsia="en-US"/>
        </w:rPr>
        <w:t xml:space="preserve"> Mittel- und Niederspannungsnetz</w:t>
      </w:r>
      <w:r w:rsidR="00B73F2E" w:rsidRPr="000E5A31">
        <w:rPr>
          <w:rFonts w:eastAsiaTheme="minorHAnsi" w:cs="Arial"/>
          <w:szCs w:val="22"/>
          <w:lang w:eastAsia="en-US"/>
        </w:rPr>
        <w:t>es</w:t>
      </w:r>
      <w:r w:rsidR="00152F16" w:rsidRPr="000E5A31">
        <w:rPr>
          <w:rFonts w:eastAsiaTheme="minorHAnsi" w:cs="Arial"/>
          <w:szCs w:val="22"/>
          <w:lang w:eastAsia="en-US"/>
        </w:rPr>
        <w:t xml:space="preserve"> für private Stromproduzenten sy</w:t>
      </w:r>
      <w:r w:rsidR="00152F16" w:rsidRPr="000E5A31">
        <w:rPr>
          <w:rFonts w:eastAsiaTheme="minorHAnsi" w:cs="Arial"/>
          <w:szCs w:val="22"/>
          <w:lang w:eastAsia="en-US"/>
        </w:rPr>
        <w:t>s</w:t>
      </w:r>
      <w:r w:rsidR="00152F16" w:rsidRPr="000E5A31">
        <w:rPr>
          <w:rFonts w:eastAsiaTheme="minorHAnsi" w:cs="Arial"/>
          <w:szCs w:val="22"/>
          <w:lang w:eastAsia="en-US"/>
        </w:rPr>
        <w:t>tematisch verzögert</w:t>
      </w:r>
      <w:r w:rsidR="00B73F2E" w:rsidRPr="000E5A31">
        <w:rPr>
          <w:rFonts w:eastAsiaTheme="minorHAnsi" w:cs="Arial"/>
          <w:szCs w:val="22"/>
          <w:lang w:eastAsia="en-US"/>
        </w:rPr>
        <w:t xml:space="preserve"> wird</w:t>
      </w:r>
      <w:r w:rsidR="00152F16" w:rsidRPr="000E5A31">
        <w:rPr>
          <w:rFonts w:eastAsiaTheme="minorHAnsi" w:cs="Arial"/>
          <w:szCs w:val="22"/>
          <w:lang w:eastAsia="en-US"/>
        </w:rPr>
        <w:t>. Zwar gibt es auch dort erste Pilotprojekte und Ausnahmeregelu</w:t>
      </w:r>
      <w:r w:rsidR="00152F16" w:rsidRPr="000E5A31">
        <w:rPr>
          <w:rFonts w:eastAsiaTheme="minorHAnsi" w:cs="Arial"/>
          <w:szCs w:val="22"/>
          <w:lang w:eastAsia="en-US"/>
        </w:rPr>
        <w:t>n</w:t>
      </w:r>
      <w:r w:rsidR="00152F16" w:rsidRPr="000E5A31">
        <w:rPr>
          <w:rFonts w:eastAsiaTheme="minorHAnsi" w:cs="Arial"/>
          <w:szCs w:val="22"/>
          <w:lang w:eastAsia="en-US"/>
        </w:rPr>
        <w:t xml:space="preserve">gen (v.a. </w:t>
      </w:r>
      <w:r w:rsidR="00B73F2E" w:rsidRPr="000E5A31">
        <w:rPr>
          <w:rFonts w:eastAsiaTheme="minorHAnsi" w:cs="Arial"/>
          <w:szCs w:val="22"/>
          <w:lang w:eastAsia="en-US"/>
        </w:rPr>
        <w:t>i</w:t>
      </w:r>
      <w:r w:rsidR="00152F16" w:rsidRPr="000E5A31">
        <w:rPr>
          <w:rFonts w:eastAsiaTheme="minorHAnsi" w:cs="Arial"/>
          <w:szCs w:val="22"/>
          <w:lang w:eastAsia="en-US"/>
        </w:rPr>
        <w:t>m Industrie</w:t>
      </w:r>
      <w:r w:rsidR="00B73F2E" w:rsidRPr="000E5A31">
        <w:rPr>
          <w:rFonts w:eastAsiaTheme="minorHAnsi" w:cs="Arial"/>
          <w:szCs w:val="22"/>
          <w:lang w:eastAsia="en-US"/>
        </w:rPr>
        <w:t>- und Agrar</w:t>
      </w:r>
      <w:r w:rsidR="00152F16" w:rsidRPr="000E5A31">
        <w:rPr>
          <w:rFonts w:eastAsiaTheme="minorHAnsi" w:cs="Arial"/>
          <w:szCs w:val="22"/>
          <w:lang w:eastAsia="en-US"/>
        </w:rPr>
        <w:t>bereich), allerdings wird ohne eine effektive Öffnung der Netze eine sich selbst tragende Marktentwicklung für Erneuerbare nicht möglich sein.</w:t>
      </w:r>
    </w:p>
    <w:p w:rsidR="00142342" w:rsidRPr="000E5A31" w:rsidRDefault="0003767F" w:rsidP="00142342">
      <w:pPr>
        <w:autoSpaceDE w:val="0"/>
        <w:autoSpaceDN w:val="0"/>
        <w:adjustRightInd w:val="0"/>
        <w:spacing w:after="120"/>
        <w:jc w:val="both"/>
        <w:rPr>
          <w:rFonts w:eastAsiaTheme="minorHAnsi" w:cs="Arial"/>
          <w:szCs w:val="22"/>
          <w:lang w:eastAsia="en-US"/>
        </w:rPr>
      </w:pPr>
      <w:r w:rsidRPr="000E5A31">
        <w:rPr>
          <w:rFonts w:eastAsiaTheme="minorHAnsi" w:cs="Arial"/>
          <w:szCs w:val="22"/>
          <w:lang w:eastAsia="en-US"/>
        </w:rPr>
        <w:t>Interessanterweise neigen mitunter selbst jene Länder, die ihre Netze für Erneuerbare geöf</w:t>
      </w:r>
      <w:r w:rsidRPr="000E5A31">
        <w:rPr>
          <w:rFonts w:eastAsiaTheme="minorHAnsi" w:cs="Arial"/>
          <w:szCs w:val="22"/>
          <w:lang w:eastAsia="en-US"/>
        </w:rPr>
        <w:t>f</w:t>
      </w:r>
      <w:r w:rsidRPr="000E5A31">
        <w:rPr>
          <w:rFonts w:eastAsiaTheme="minorHAnsi" w:cs="Arial"/>
          <w:szCs w:val="22"/>
          <w:lang w:eastAsia="en-US"/>
        </w:rPr>
        <w:t xml:space="preserve">net und </w:t>
      </w:r>
      <w:r w:rsidR="00714B11" w:rsidRPr="000E5A31">
        <w:rPr>
          <w:rFonts w:eastAsiaTheme="minorHAnsi" w:cs="Arial"/>
          <w:szCs w:val="22"/>
          <w:lang w:eastAsia="en-US"/>
        </w:rPr>
        <w:t>Einspeisetarife</w:t>
      </w:r>
      <w:r w:rsidRPr="000E5A31">
        <w:rPr>
          <w:rFonts w:eastAsiaTheme="minorHAnsi" w:cs="Arial"/>
          <w:szCs w:val="22"/>
          <w:lang w:eastAsia="en-US"/>
        </w:rPr>
        <w:t xml:space="preserve"> für diese geschaffen haben (wie z.B. Ägypten und Algerien) dazu, entgegen allen interna</w:t>
      </w:r>
      <w:r w:rsidR="00B73F2E" w:rsidRPr="000E5A31">
        <w:rPr>
          <w:rFonts w:eastAsiaTheme="minorHAnsi" w:cs="Arial"/>
          <w:szCs w:val="22"/>
          <w:lang w:eastAsia="en-US"/>
        </w:rPr>
        <w:t>tiona</w:t>
      </w:r>
      <w:r w:rsidRPr="000E5A31">
        <w:rPr>
          <w:rFonts w:eastAsiaTheme="minorHAnsi" w:cs="Arial"/>
          <w:szCs w:val="22"/>
          <w:lang w:eastAsia="en-US"/>
        </w:rPr>
        <w:t xml:space="preserve">len Praktiken </w:t>
      </w:r>
      <w:r w:rsidR="00E2039C" w:rsidRPr="000E5A31">
        <w:rPr>
          <w:rFonts w:eastAsiaTheme="minorHAnsi" w:cs="Arial"/>
          <w:szCs w:val="22"/>
          <w:lang w:eastAsia="en-US"/>
        </w:rPr>
        <w:t>bei der Verg</w:t>
      </w:r>
      <w:r w:rsidR="00B73F2E" w:rsidRPr="000E5A31">
        <w:rPr>
          <w:rFonts w:eastAsiaTheme="minorHAnsi" w:cs="Arial"/>
          <w:szCs w:val="22"/>
          <w:lang w:eastAsia="en-US"/>
        </w:rPr>
        <w:t>a</w:t>
      </w:r>
      <w:r w:rsidR="00E2039C" w:rsidRPr="000E5A31">
        <w:rPr>
          <w:rFonts w:eastAsiaTheme="minorHAnsi" w:cs="Arial"/>
          <w:szCs w:val="22"/>
          <w:lang w:eastAsia="en-US"/>
        </w:rPr>
        <w:t xml:space="preserve">be </w:t>
      </w:r>
      <w:r w:rsidR="00B73F2E" w:rsidRPr="000E5A31">
        <w:rPr>
          <w:rFonts w:eastAsiaTheme="minorHAnsi" w:cs="Arial"/>
          <w:szCs w:val="22"/>
          <w:lang w:eastAsia="en-US"/>
        </w:rPr>
        <w:t>vo</w:t>
      </w:r>
      <w:r w:rsidR="00E2039C" w:rsidRPr="000E5A31">
        <w:rPr>
          <w:rFonts w:eastAsiaTheme="minorHAnsi" w:cs="Arial"/>
          <w:szCs w:val="22"/>
          <w:lang w:eastAsia="en-US"/>
        </w:rPr>
        <w:t xml:space="preserve">n Finanzanreizen </w:t>
      </w:r>
      <w:r w:rsidRPr="000E5A31">
        <w:rPr>
          <w:rFonts w:eastAsiaTheme="minorHAnsi" w:cs="Arial"/>
          <w:szCs w:val="22"/>
          <w:lang w:eastAsia="en-US"/>
        </w:rPr>
        <w:t xml:space="preserve">große </w:t>
      </w:r>
      <w:r w:rsidR="00B73F2E" w:rsidRPr="000E5A31">
        <w:rPr>
          <w:rFonts w:eastAsiaTheme="minorHAnsi" w:cs="Arial"/>
          <w:szCs w:val="22"/>
          <w:lang w:eastAsia="en-US"/>
        </w:rPr>
        <w:t>RE-A</w:t>
      </w:r>
      <w:r w:rsidRPr="000E5A31">
        <w:rPr>
          <w:rFonts w:eastAsiaTheme="minorHAnsi" w:cs="Arial"/>
          <w:szCs w:val="22"/>
          <w:lang w:eastAsia="en-US"/>
        </w:rPr>
        <w:t xml:space="preserve">nlagen </w:t>
      </w:r>
      <w:r w:rsidR="00E2039C" w:rsidRPr="000E5A31">
        <w:rPr>
          <w:rFonts w:eastAsiaTheme="minorHAnsi" w:cs="Arial"/>
          <w:szCs w:val="22"/>
          <w:lang w:eastAsia="en-US"/>
        </w:rPr>
        <w:t xml:space="preserve">gegenüber </w:t>
      </w:r>
      <w:r w:rsidRPr="000E5A31">
        <w:rPr>
          <w:rFonts w:eastAsiaTheme="minorHAnsi" w:cs="Arial"/>
          <w:szCs w:val="22"/>
          <w:lang w:eastAsia="en-US"/>
        </w:rPr>
        <w:t>kleine</w:t>
      </w:r>
      <w:r w:rsidR="00E2039C" w:rsidRPr="000E5A31">
        <w:rPr>
          <w:rFonts w:eastAsiaTheme="minorHAnsi" w:cs="Arial"/>
          <w:szCs w:val="22"/>
          <w:lang w:eastAsia="en-US"/>
        </w:rPr>
        <w:t>n zu bevorzugen</w:t>
      </w:r>
      <w:r w:rsidRPr="000E5A31">
        <w:rPr>
          <w:rFonts w:eastAsiaTheme="minorHAnsi" w:cs="Arial"/>
          <w:szCs w:val="22"/>
          <w:lang w:eastAsia="en-US"/>
        </w:rPr>
        <w:t>. Dies ve</w:t>
      </w:r>
      <w:r w:rsidR="00B73F2E" w:rsidRPr="000E5A31">
        <w:rPr>
          <w:rFonts w:eastAsiaTheme="minorHAnsi" w:cs="Arial"/>
          <w:szCs w:val="22"/>
          <w:lang w:eastAsia="en-US"/>
        </w:rPr>
        <w:t>r</w:t>
      </w:r>
      <w:r w:rsidRPr="000E5A31">
        <w:rPr>
          <w:rFonts w:eastAsiaTheme="minorHAnsi" w:cs="Arial"/>
          <w:szCs w:val="22"/>
          <w:lang w:eastAsia="en-US"/>
        </w:rPr>
        <w:t xml:space="preserve">deutlicht den </w:t>
      </w:r>
      <w:r w:rsidR="00B73F2E" w:rsidRPr="000E5A31">
        <w:rPr>
          <w:rFonts w:eastAsiaTheme="minorHAnsi" w:cs="Arial"/>
          <w:szCs w:val="22"/>
          <w:lang w:eastAsia="en-US"/>
        </w:rPr>
        <w:t xml:space="preserve">in den </w:t>
      </w:r>
      <w:r w:rsidRPr="000E5A31">
        <w:rPr>
          <w:rFonts w:eastAsiaTheme="minorHAnsi" w:cs="Arial"/>
          <w:szCs w:val="22"/>
          <w:lang w:eastAsia="en-US"/>
        </w:rPr>
        <w:t>meist</w:t>
      </w:r>
      <w:r w:rsidR="00B73F2E" w:rsidRPr="000E5A31">
        <w:rPr>
          <w:rFonts w:eastAsiaTheme="minorHAnsi" w:cs="Arial"/>
          <w:szCs w:val="22"/>
          <w:lang w:eastAsia="en-US"/>
        </w:rPr>
        <w:t xml:space="preserve">en Fällen </w:t>
      </w:r>
      <w:r w:rsidRPr="000E5A31">
        <w:rPr>
          <w:rFonts w:eastAsiaTheme="minorHAnsi" w:cs="Arial"/>
          <w:szCs w:val="22"/>
          <w:lang w:eastAsia="en-US"/>
        </w:rPr>
        <w:t>nach wie vor ungelösten (und genuin polit</w:t>
      </w:r>
      <w:r w:rsidR="00E2039C" w:rsidRPr="000E5A31">
        <w:rPr>
          <w:rFonts w:eastAsiaTheme="minorHAnsi" w:cs="Arial"/>
          <w:szCs w:val="22"/>
          <w:lang w:eastAsia="en-US"/>
        </w:rPr>
        <w:t>i</w:t>
      </w:r>
      <w:r w:rsidRPr="000E5A31">
        <w:rPr>
          <w:rFonts w:eastAsiaTheme="minorHAnsi" w:cs="Arial"/>
          <w:szCs w:val="22"/>
          <w:lang w:eastAsia="en-US"/>
        </w:rPr>
        <w:t xml:space="preserve">schen) </w:t>
      </w:r>
      <w:r w:rsidR="00B73F2E" w:rsidRPr="000E5A31">
        <w:rPr>
          <w:rFonts w:eastAsiaTheme="minorHAnsi" w:cs="Arial"/>
          <w:szCs w:val="22"/>
          <w:lang w:eastAsia="en-US"/>
        </w:rPr>
        <w:t>K</w:t>
      </w:r>
      <w:r w:rsidRPr="000E5A31">
        <w:rPr>
          <w:rFonts w:eastAsiaTheme="minorHAnsi" w:cs="Arial"/>
          <w:szCs w:val="22"/>
          <w:lang w:eastAsia="en-US"/>
        </w:rPr>
        <w:t xml:space="preserve">onflikt zwischen großtechnologisch </w:t>
      </w:r>
      <w:r w:rsidR="00B73F2E" w:rsidRPr="000E5A31">
        <w:rPr>
          <w:rFonts w:eastAsiaTheme="minorHAnsi" w:cs="Arial"/>
          <w:szCs w:val="22"/>
          <w:lang w:eastAsia="en-US"/>
        </w:rPr>
        <w:t>organisie</w:t>
      </w:r>
      <w:r w:rsidR="00B73F2E" w:rsidRPr="000E5A31">
        <w:rPr>
          <w:rFonts w:eastAsiaTheme="minorHAnsi" w:cs="Arial"/>
          <w:szCs w:val="22"/>
          <w:lang w:eastAsia="en-US"/>
        </w:rPr>
        <w:t>r</w:t>
      </w:r>
      <w:r w:rsidR="00B73F2E" w:rsidRPr="000E5A31">
        <w:rPr>
          <w:rFonts w:eastAsiaTheme="minorHAnsi" w:cs="Arial"/>
          <w:szCs w:val="22"/>
          <w:lang w:eastAsia="en-US"/>
        </w:rPr>
        <w:t xml:space="preserve">ten </w:t>
      </w:r>
      <w:r w:rsidRPr="000E5A31">
        <w:rPr>
          <w:rFonts w:eastAsiaTheme="minorHAnsi" w:cs="Arial"/>
          <w:szCs w:val="22"/>
          <w:lang w:eastAsia="en-US"/>
        </w:rPr>
        <w:t xml:space="preserve">und zentralstaatlich </w:t>
      </w:r>
      <w:r w:rsidR="00B73F2E" w:rsidRPr="000E5A31">
        <w:rPr>
          <w:rFonts w:eastAsiaTheme="minorHAnsi" w:cs="Arial"/>
          <w:szCs w:val="22"/>
          <w:lang w:eastAsia="en-US"/>
        </w:rPr>
        <w:t xml:space="preserve">dominierten </w:t>
      </w:r>
      <w:r w:rsidRPr="000E5A31">
        <w:rPr>
          <w:rFonts w:eastAsiaTheme="minorHAnsi" w:cs="Arial"/>
          <w:szCs w:val="22"/>
          <w:lang w:eastAsia="en-US"/>
        </w:rPr>
        <w:t>bzw. kontrollierten Systeme</w:t>
      </w:r>
      <w:r w:rsidR="00B73F2E" w:rsidRPr="000E5A31">
        <w:rPr>
          <w:rFonts w:eastAsiaTheme="minorHAnsi" w:cs="Arial"/>
          <w:szCs w:val="22"/>
          <w:lang w:eastAsia="en-US"/>
        </w:rPr>
        <w:t>n</w:t>
      </w:r>
      <w:r w:rsidRPr="000E5A31">
        <w:rPr>
          <w:rFonts w:eastAsiaTheme="minorHAnsi" w:cs="Arial"/>
          <w:szCs w:val="22"/>
          <w:lang w:eastAsia="en-US"/>
        </w:rPr>
        <w:t xml:space="preserve"> und eher kleinteiligen </w:t>
      </w:r>
      <w:r w:rsidR="00B73F2E" w:rsidRPr="000E5A31">
        <w:rPr>
          <w:rFonts w:eastAsiaTheme="minorHAnsi" w:cs="Arial"/>
          <w:szCs w:val="22"/>
          <w:lang w:eastAsia="en-US"/>
        </w:rPr>
        <w:t>und</w:t>
      </w:r>
      <w:r w:rsidRPr="000E5A31">
        <w:rPr>
          <w:rFonts w:eastAsiaTheme="minorHAnsi" w:cs="Arial"/>
          <w:szCs w:val="22"/>
          <w:lang w:eastAsia="en-US"/>
        </w:rPr>
        <w:t xml:space="preserve"> dezentralen Ansätzen, </w:t>
      </w:r>
      <w:r w:rsidR="00535BC6" w:rsidRPr="000E5A31">
        <w:rPr>
          <w:rFonts w:eastAsiaTheme="minorHAnsi" w:cs="Arial"/>
          <w:szCs w:val="22"/>
          <w:lang w:eastAsia="en-US"/>
        </w:rPr>
        <w:t>in</w:t>
      </w:r>
      <w:r w:rsidRPr="000E5A31">
        <w:rPr>
          <w:rFonts w:eastAsiaTheme="minorHAnsi" w:cs="Arial"/>
          <w:szCs w:val="22"/>
          <w:lang w:eastAsia="en-US"/>
        </w:rPr>
        <w:t xml:space="preserve"> denen auch private Akteure auf gleicher Augenhöhe mitwirken können und in denen es einen echten Wettbewerb mit den et</w:t>
      </w:r>
      <w:r w:rsidR="00DF5147" w:rsidRPr="000E5A31">
        <w:rPr>
          <w:rFonts w:eastAsiaTheme="minorHAnsi" w:cs="Arial"/>
          <w:szCs w:val="22"/>
          <w:lang w:eastAsia="en-US"/>
        </w:rPr>
        <w:t>a</w:t>
      </w:r>
      <w:r w:rsidRPr="000E5A31">
        <w:rPr>
          <w:rFonts w:eastAsiaTheme="minorHAnsi" w:cs="Arial"/>
          <w:szCs w:val="22"/>
          <w:lang w:eastAsia="en-US"/>
        </w:rPr>
        <w:t>blierten Anbietern gibt</w:t>
      </w:r>
      <w:r w:rsidR="00DF5147" w:rsidRPr="000E5A31">
        <w:rPr>
          <w:rFonts w:eastAsiaTheme="minorHAnsi" w:cs="Arial"/>
          <w:szCs w:val="22"/>
          <w:lang w:eastAsia="en-US"/>
        </w:rPr>
        <w:t>.</w:t>
      </w:r>
      <w:r w:rsidR="00E2039C" w:rsidRPr="000E5A31">
        <w:rPr>
          <w:rFonts w:eastAsiaTheme="minorHAnsi" w:cs="Arial"/>
          <w:szCs w:val="22"/>
          <w:lang w:eastAsia="en-US"/>
        </w:rPr>
        <w:t xml:space="preserve"> </w:t>
      </w:r>
      <w:r w:rsidR="00142342" w:rsidRPr="000E5A31">
        <w:rPr>
          <w:rFonts w:cs="Arial"/>
          <w:bCs/>
          <w:szCs w:val="22"/>
        </w:rPr>
        <w:t xml:space="preserve">Wie sensibel und umstritten diese Fragen </w:t>
      </w:r>
      <w:r w:rsidR="00E2039C" w:rsidRPr="000E5A31">
        <w:rPr>
          <w:rFonts w:cs="Arial"/>
          <w:bCs/>
          <w:szCs w:val="22"/>
        </w:rPr>
        <w:t xml:space="preserve">immer noch </w:t>
      </w:r>
      <w:r w:rsidR="00142342" w:rsidRPr="000E5A31">
        <w:rPr>
          <w:rFonts w:cs="Arial"/>
          <w:bCs/>
          <w:szCs w:val="22"/>
        </w:rPr>
        <w:t>sind, zeig</w:t>
      </w:r>
      <w:r w:rsidR="00E2039C" w:rsidRPr="000E5A31">
        <w:rPr>
          <w:rFonts w:cs="Arial"/>
          <w:bCs/>
          <w:szCs w:val="22"/>
        </w:rPr>
        <w:t>en auch die beiden Gene</w:t>
      </w:r>
      <w:r w:rsidR="00142342" w:rsidRPr="000E5A31">
        <w:rPr>
          <w:rFonts w:cs="Arial"/>
          <w:bCs/>
          <w:szCs w:val="22"/>
        </w:rPr>
        <w:t>r</w:t>
      </w:r>
      <w:r w:rsidR="00E2039C" w:rsidRPr="000E5A31">
        <w:rPr>
          <w:rFonts w:cs="Arial"/>
          <w:bCs/>
          <w:szCs w:val="22"/>
        </w:rPr>
        <w:t>a</w:t>
      </w:r>
      <w:r w:rsidR="00E2039C" w:rsidRPr="000E5A31">
        <w:rPr>
          <w:rFonts w:cs="Arial"/>
          <w:bCs/>
          <w:szCs w:val="22"/>
        </w:rPr>
        <w:t>l</w:t>
      </w:r>
      <w:r w:rsidR="00E2039C" w:rsidRPr="000E5A31">
        <w:rPr>
          <w:rFonts w:cs="Arial"/>
          <w:bCs/>
          <w:szCs w:val="22"/>
        </w:rPr>
        <w:t>streiks der tunesischen Gewerkschaften gegen das Erneuerbaren-Gesetz im Sommer 2014</w:t>
      </w:r>
      <w:r w:rsidR="00535BC6" w:rsidRPr="000E5A31">
        <w:rPr>
          <w:rFonts w:cs="Arial"/>
          <w:bCs/>
          <w:szCs w:val="22"/>
        </w:rPr>
        <w:t>.</w:t>
      </w:r>
    </w:p>
    <w:p w:rsidR="001A3C3D" w:rsidRPr="000E5A31" w:rsidRDefault="0003767F" w:rsidP="00E12431">
      <w:pPr>
        <w:autoSpaceDE w:val="0"/>
        <w:autoSpaceDN w:val="0"/>
        <w:adjustRightInd w:val="0"/>
        <w:spacing w:after="120"/>
        <w:jc w:val="both"/>
        <w:rPr>
          <w:rFonts w:eastAsiaTheme="minorHAnsi" w:cs="Arial"/>
          <w:szCs w:val="22"/>
          <w:lang w:eastAsia="en-US"/>
        </w:rPr>
      </w:pPr>
      <w:r w:rsidRPr="000E5A31">
        <w:rPr>
          <w:rFonts w:eastAsiaTheme="minorHAnsi" w:cs="Arial"/>
          <w:szCs w:val="22"/>
          <w:lang w:eastAsia="en-US"/>
        </w:rPr>
        <w:lastRenderedPageBreak/>
        <w:t>Tatsächlich</w:t>
      </w:r>
      <w:r w:rsidR="00E12431" w:rsidRPr="000E5A31">
        <w:rPr>
          <w:rFonts w:eastAsiaTheme="minorHAnsi" w:cs="Arial"/>
          <w:szCs w:val="22"/>
          <w:lang w:eastAsia="en-US"/>
        </w:rPr>
        <w:t xml:space="preserve"> ist zu beachten, dass </w:t>
      </w:r>
      <w:r w:rsidRPr="000E5A31">
        <w:rPr>
          <w:rFonts w:eastAsiaTheme="minorHAnsi" w:cs="Arial"/>
          <w:szCs w:val="22"/>
          <w:lang w:eastAsia="en-US"/>
        </w:rPr>
        <w:t>es sich bei dem</w:t>
      </w:r>
      <w:r w:rsidR="00E12431" w:rsidRPr="000E5A31">
        <w:rPr>
          <w:rFonts w:eastAsiaTheme="minorHAnsi" w:cs="Arial"/>
          <w:szCs w:val="22"/>
          <w:lang w:eastAsia="en-US"/>
        </w:rPr>
        <w:t xml:space="preserve"> </w:t>
      </w:r>
      <w:r w:rsidR="00A10BE4" w:rsidRPr="000E5A31">
        <w:rPr>
          <w:rFonts w:eastAsiaTheme="minorHAnsi" w:cs="Arial"/>
          <w:szCs w:val="22"/>
          <w:lang w:eastAsia="en-US"/>
        </w:rPr>
        <w:t>weitaus größten T</w:t>
      </w:r>
      <w:r w:rsidR="00E12431" w:rsidRPr="000E5A31">
        <w:rPr>
          <w:rFonts w:eastAsiaTheme="minorHAnsi" w:cs="Arial"/>
          <w:szCs w:val="22"/>
          <w:lang w:eastAsia="en-US"/>
        </w:rPr>
        <w:t>eil der aktuell installie</w:t>
      </w:r>
      <w:r w:rsidR="00E12431" w:rsidRPr="000E5A31">
        <w:rPr>
          <w:rFonts w:eastAsiaTheme="minorHAnsi" w:cs="Arial"/>
          <w:szCs w:val="22"/>
          <w:lang w:eastAsia="en-US"/>
        </w:rPr>
        <w:t>r</w:t>
      </w:r>
      <w:r w:rsidR="00E12431" w:rsidRPr="000E5A31">
        <w:rPr>
          <w:rFonts w:eastAsiaTheme="minorHAnsi" w:cs="Arial"/>
          <w:szCs w:val="22"/>
          <w:lang w:eastAsia="en-US"/>
        </w:rPr>
        <w:t xml:space="preserve">ten, gebauten oder geplanten </w:t>
      </w:r>
      <w:r w:rsidR="00A10BE4" w:rsidRPr="000E5A31">
        <w:rPr>
          <w:rFonts w:eastAsiaTheme="minorHAnsi" w:cs="Arial"/>
          <w:szCs w:val="22"/>
          <w:lang w:eastAsia="en-US"/>
        </w:rPr>
        <w:t>RE-</w:t>
      </w:r>
      <w:r w:rsidR="00E12431" w:rsidRPr="000E5A31">
        <w:rPr>
          <w:rFonts w:eastAsiaTheme="minorHAnsi" w:cs="Arial"/>
          <w:szCs w:val="22"/>
          <w:lang w:eastAsia="en-US"/>
        </w:rPr>
        <w:t>Kapazität</w:t>
      </w:r>
      <w:r w:rsidRPr="000E5A31">
        <w:rPr>
          <w:rFonts w:eastAsiaTheme="minorHAnsi" w:cs="Arial"/>
          <w:szCs w:val="22"/>
          <w:lang w:eastAsia="en-US"/>
        </w:rPr>
        <w:t>en</w:t>
      </w:r>
      <w:r w:rsidR="00E12431" w:rsidRPr="000E5A31">
        <w:rPr>
          <w:rFonts w:eastAsiaTheme="minorHAnsi" w:cs="Arial"/>
          <w:szCs w:val="22"/>
          <w:lang w:eastAsia="en-US"/>
        </w:rPr>
        <w:t xml:space="preserve"> nach wie vor um </w:t>
      </w:r>
      <w:r w:rsidRPr="000E5A31">
        <w:rPr>
          <w:rFonts w:eastAsiaTheme="minorHAnsi" w:cs="Arial"/>
          <w:szCs w:val="22"/>
          <w:lang w:eastAsia="en-US"/>
        </w:rPr>
        <w:t>G</w:t>
      </w:r>
      <w:r w:rsidR="00E12431" w:rsidRPr="000E5A31">
        <w:rPr>
          <w:rFonts w:eastAsiaTheme="minorHAnsi" w:cs="Arial"/>
          <w:szCs w:val="22"/>
          <w:lang w:eastAsia="en-US"/>
        </w:rPr>
        <w:t>roß</w:t>
      </w:r>
      <w:r w:rsidRPr="000E5A31">
        <w:rPr>
          <w:rFonts w:eastAsiaTheme="minorHAnsi" w:cs="Arial"/>
          <w:szCs w:val="22"/>
          <w:lang w:eastAsia="en-US"/>
        </w:rPr>
        <w:t>k</w:t>
      </w:r>
      <w:r w:rsidR="00E12431" w:rsidRPr="000E5A31">
        <w:rPr>
          <w:rFonts w:eastAsiaTheme="minorHAnsi" w:cs="Arial"/>
          <w:szCs w:val="22"/>
          <w:lang w:eastAsia="en-US"/>
        </w:rPr>
        <w:t>raftwerke handelt</w:t>
      </w:r>
      <w:r w:rsidR="00A10BE4" w:rsidRPr="000E5A31">
        <w:rPr>
          <w:rFonts w:eastAsiaTheme="minorHAnsi" w:cs="Arial"/>
          <w:szCs w:val="22"/>
          <w:lang w:eastAsia="en-US"/>
        </w:rPr>
        <w:t xml:space="preserve">, die im </w:t>
      </w:r>
      <w:r w:rsidR="00714B11" w:rsidRPr="000E5A31">
        <w:rPr>
          <w:rFonts w:eastAsiaTheme="minorHAnsi" w:cs="Arial"/>
          <w:szCs w:val="22"/>
          <w:lang w:eastAsia="en-US"/>
        </w:rPr>
        <w:t>Rahmen</w:t>
      </w:r>
      <w:r w:rsidR="00A10BE4" w:rsidRPr="000E5A31">
        <w:rPr>
          <w:rFonts w:eastAsiaTheme="minorHAnsi" w:cs="Arial"/>
          <w:szCs w:val="22"/>
          <w:lang w:eastAsia="en-US"/>
        </w:rPr>
        <w:t xml:space="preserve"> von EPC- oder IPP-Ausschreibungen vergeben wurden</w:t>
      </w:r>
      <w:r w:rsidR="00E12431" w:rsidRPr="000E5A31">
        <w:rPr>
          <w:rFonts w:eastAsiaTheme="minorHAnsi" w:cs="Arial"/>
          <w:szCs w:val="22"/>
          <w:lang w:eastAsia="en-US"/>
        </w:rPr>
        <w:t>.</w:t>
      </w:r>
      <w:r w:rsidR="00D26BE8" w:rsidRPr="000E5A31">
        <w:rPr>
          <w:rFonts w:eastAsiaTheme="minorHAnsi" w:cs="Arial"/>
          <w:szCs w:val="22"/>
          <w:lang w:eastAsia="en-US"/>
        </w:rPr>
        <w:t xml:space="preserve"> Bislang setze</w:t>
      </w:r>
      <w:r w:rsidR="00885652" w:rsidRPr="000E5A31">
        <w:rPr>
          <w:rFonts w:eastAsiaTheme="minorHAnsi" w:cs="Arial"/>
          <w:szCs w:val="22"/>
          <w:lang w:eastAsia="en-US"/>
        </w:rPr>
        <w:t>n</w:t>
      </w:r>
      <w:r w:rsidR="00D26BE8" w:rsidRPr="000E5A31">
        <w:rPr>
          <w:rFonts w:eastAsiaTheme="minorHAnsi" w:cs="Arial"/>
          <w:szCs w:val="22"/>
          <w:lang w:eastAsia="en-US"/>
        </w:rPr>
        <w:t xml:space="preserve"> </w:t>
      </w:r>
      <w:r w:rsidR="00885652" w:rsidRPr="000E5A31">
        <w:rPr>
          <w:rFonts w:eastAsiaTheme="minorHAnsi" w:cs="Arial"/>
          <w:szCs w:val="22"/>
          <w:lang w:eastAsia="en-US"/>
        </w:rPr>
        <w:t xml:space="preserve">alle </w:t>
      </w:r>
      <w:r w:rsidR="00D26BE8" w:rsidRPr="000E5A31">
        <w:rPr>
          <w:rFonts w:eastAsiaTheme="minorHAnsi" w:cs="Arial"/>
          <w:szCs w:val="22"/>
          <w:lang w:eastAsia="en-US"/>
        </w:rPr>
        <w:t>R</w:t>
      </w:r>
      <w:r w:rsidR="00D26BE8" w:rsidRPr="000E5A31">
        <w:rPr>
          <w:rFonts w:eastAsiaTheme="minorHAnsi" w:cs="Arial"/>
          <w:szCs w:val="22"/>
          <w:lang w:eastAsia="en-US"/>
        </w:rPr>
        <w:t>e</w:t>
      </w:r>
      <w:r w:rsidR="00D26BE8" w:rsidRPr="000E5A31">
        <w:rPr>
          <w:rFonts w:eastAsiaTheme="minorHAnsi" w:cs="Arial"/>
          <w:szCs w:val="22"/>
          <w:lang w:eastAsia="en-US"/>
        </w:rPr>
        <w:t>gierung</w:t>
      </w:r>
      <w:r w:rsidR="00885652" w:rsidRPr="000E5A31">
        <w:rPr>
          <w:rFonts w:eastAsiaTheme="minorHAnsi" w:cs="Arial"/>
          <w:szCs w:val="22"/>
          <w:lang w:eastAsia="en-US"/>
        </w:rPr>
        <w:t>en der Region</w:t>
      </w:r>
      <w:r w:rsidR="00D26BE8" w:rsidRPr="000E5A31">
        <w:rPr>
          <w:rFonts w:eastAsiaTheme="minorHAnsi" w:cs="Arial"/>
          <w:szCs w:val="22"/>
          <w:lang w:eastAsia="en-US"/>
        </w:rPr>
        <w:t xml:space="preserve"> </w:t>
      </w:r>
      <w:r w:rsidR="00885652" w:rsidRPr="000E5A31">
        <w:rPr>
          <w:rFonts w:eastAsiaTheme="minorHAnsi" w:cs="Arial"/>
          <w:szCs w:val="22"/>
          <w:lang w:eastAsia="en-US"/>
        </w:rPr>
        <w:t>(</w:t>
      </w:r>
      <w:r w:rsidR="00D26BE8" w:rsidRPr="000E5A31">
        <w:rPr>
          <w:rFonts w:eastAsiaTheme="minorHAnsi" w:cs="Arial"/>
          <w:szCs w:val="22"/>
          <w:lang w:eastAsia="en-US"/>
        </w:rPr>
        <w:t>außer im Rahmen der ländlichen Elektrifizierung</w:t>
      </w:r>
      <w:r w:rsidR="00885652" w:rsidRPr="000E5A31">
        <w:rPr>
          <w:rFonts w:eastAsiaTheme="minorHAnsi" w:cs="Arial"/>
          <w:szCs w:val="22"/>
          <w:lang w:eastAsia="en-US"/>
        </w:rPr>
        <w:t>)</w:t>
      </w:r>
      <w:r w:rsidR="00D26BE8" w:rsidRPr="000E5A31">
        <w:rPr>
          <w:rFonts w:eastAsiaTheme="minorHAnsi" w:cs="Arial"/>
          <w:szCs w:val="22"/>
          <w:lang w:eastAsia="en-US"/>
        </w:rPr>
        <w:t xml:space="preserve"> </w:t>
      </w:r>
      <w:r w:rsidR="00885652" w:rsidRPr="000E5A31">
        <w:rPr>
          <w:rFonts w:eastAsiaTheme="minorHAnsi" w:cs="Arial"/>
          <w:szCs w:val="22"/>
          <w:lang w:eastAsia="en-US"/>
        </w:rPr>
        <w:t xml:space="preserve">überwiegend oder sogar </w:t>
      </w:r>
      <w:r w:rsidR="00D26BE8" w:rsidRPr="000E5A31">
        <w:rPr>
          <w:rFonts w:eastAsiaTheme="minorHAnsi" w:cs="Arial"/>
          <w:szCs w:val="22"/>
          <w:lang w:eastAsia="en-US"/>
        </w:rPr>
        <w:t xml:space="preserve">ausschließlich auf </w:t>
      </w:r>
      <w:r w:rsidR="00A10BE4" w:rsidRPr="000E5A31">
        <w:rPr>
          <w:rFonts w:eastAsiaTheme="minorHAnsi" w:cs="Arial"/>
          <w:szCs w:val="22"/>
          <w:lang w:eastAsia="en-US"/>
        </w:rPr>
        <w:t>diese</w:t>
      </w:r>
      <w:r w:rsidR="00D26BE8" w:rsidRPr="000E5A31">
        <w:rPr>
          <w:rFonts w:eastAsiaTheme="minorHAnsi" w:cs="Arial"/>
          <w:szCs w:val="22"/>
          <w:lang w:eastAsia="en-US"/>
        </w:rPr>
        <w:t>. Das Problem dieser Politik ist, dass bei Großkraftwerken die Zugangshürden für einheimische KMUs sehr hoch sind und die beschäftigungs- und ei</w:t>
      </w:r>
      <w:r w:rsidR="00D26BE8" w:rsidRPr="000E5A31">
        <w:rPr>
          <w:rFonts w:eastAsiaTheme="minorHAnsi" w:cs="Arial"/>
          <w:szCs w:val="22"/>
          <w:lang w:eastAsia="en-US"/>
        </w:rPr>
        <w:t>n</w:t>
      </w:r>
      <w:r w:rsidR="00D26BE8" w:rsidRPr="000E5A31">
        <w:rPr>
          <w:rFonts w:eastAsiaTheme="minorHAnsi" w:cs="Arial"/>
          <w:szCs w:val="22"/>
          <w:lang w:eastAsia="en-US"/>
        </w:rPr>
        <w:t>kommensfördernden Effekte für lokale Zielgruppen entsprechend niedrig ausfallen.</w:t>
      </w:r>
    </w:p>
    <w:p w:rsidR="006B6807" w:rsidRPr="000E5A31" w:rsidRDefault="00927057" w:rsidP="00EB367A">
      <w:pPr>
        <w:autoSpaceDE w:val="0"/>
        <w:autoSpaceDN w:val="0"/>
        <w:adjustRightInd w:val="0"/>
        <w:spacing w:after="120"/>
        <w:jc w:val="both"/>
        <w:rPr>
          <w:rFonts w:eastAsiaTheme="minorHAnsi" w:cs="Arial"/>
          <w:szCs w:val="22"/>
          <w:lang w:eastAsia="en-US"/>
        </w:rPr>
      </w:pPr>
      <w:r w:rsidRPr="000E5A31">
        <w:rPr>
          <w:rFonts w:cs="Arial"/>
          <w:szCs w:val="22"/>
        </w:rPr>
        <w:t xml:space="preserve">Fortschritte wurden auch im Energieeffizienzbereich erzielt, </w:t>
      </w:r>
      <w:r w:rsidR="00714B11" w:rsidRPr="000E5A31">
        <w:rPr>
          <w:rFonts w:cs="Arial"/>
          <w:szCs w:val="22"/>
        </w:rPr>
        <w:t>obgleich</w:t>
      </w:r>
      <w:r w:rsidRPr="000E5A31">
        <w:rPr>
          <w:rFonts w:cs="Arial"/>
          <w:szCs w:val="22"/>
        </w:rPr>
        <w:t xml:space="preserve"> von einem im weltwe</w:t>
      </w:r>
      <w:r w:rsidRPr="000E5A31">
        <w:rPr>
          <w:rFonts w:cs="Arial"/>
          <w:szCs w:val="22"/>
        </w:rPr>
        <w:t>i</w:t>
      </w:r>
      <w:r w:rsidRPr="000E5A31">
        <w:rPr>
          <w:rFonts w:cs="Arial"/>
          <w:szCs w:val="22"/>
        </w:rPr>
        <w:t xml:space="preserve">ten Vergleich sehr niedrigen Niveau ausgehend. Einen wichtigen Beitrag hierzu liefert der NEEAP-Prozess der Arabischen Liga. </w:t>
      </w:r>
      <w:r w:rsidR="00D21D5F" w:rsidRPr="000E5A31">
        <w:rPr>
          <w:rFonts w:cs="Arial"/>
          <w:szCs w:val="22"/>
        </w:rPr>
        <w:t>Am 25. November 2010 wurden die Arab Energy Eff</w:t>
      </w:r>
      <w:r w:rsidR="00D21D5F" w:rsidRPr="000E5A31">
        <w:rPr>
          <w:rFonts w:cs="Arial"/>
          <w:szCs w:val="22"/>
        </w:rPr>
        <w:t>i</w:t>
      </w:r>
      <w:r w:rsidR="00D21D5F" w:rsidRPr="000E5A31">
        <w:rPr>
          <w:rFonts w:cs="Arial"/>
          <w:szCs w:val="22"/>
        </w:rPr>
        <w:t>ciency Guidelines, basierend auf der EU-Richtlinie 2006/32/EG</w:t>
      </w:r>
      <w:r w:rsidR="00D21D5F" w:rsidRPr="000E5A31">
        <w:rPr>
          <w:rFonts w:cs="Arial"/>
          <w:bCs/>
          <w:szCs w:val="22"/>
        </w:rPr>
        <w:t>, verabschiedet. D</w:t>
      </w:r>
      <w:r w:rsidRPr="000E5A31">
        <w:rPr>
          <w:rFonts w:cs="Arial"/>
          <w:bCs/>
          <w:szCs w:val="22"/>
        </w:rPr>
        <w:t>a</w:t>
      </w:r>
      <w:r w:rsidR="00D21D5F" w:rsidRPr="000E5A31">
        <w:rPr>
          <w:rFonts w:cs="Arial"/>
          <w:bCs/>
          <w:szCs w:val="22"/>
        </w:rPr>
        <w:t xml:space="preserve">nach </w:t>
      </w:r>
      <w:r w:rsidRPr="000E5A31">
        <w:rPr>
          <w:rFonts w:cs="Arial"/>
          <w:bCs/>
          <w:szCs w:val="22"/>
        </w:rPr>
        <w:t>sind</w:t>
      </w:r>
      <w:r w:rsidR="00D21D5F" w:rsidRPr="000E5A31">
        <w:rPr>
          <w:rFonts w:cs="Arial"/>
          <w:bCs/>
          <w:szCs w:val="22"/>
        </w:rPr>
        <w:t xml:space="preserve"> die </w:t>
      </w:r>
      <w:r w:rsidRPr="000E5A31">
        <w:rPr>
          <w:rFonts w:cs="Arial"/>
          <w:bCs/>
          <w:szCs w:val="22"/>
        </w:rPr>
        <w:t>Mitglieds</w:t>
      </w:r>
      <w:r w:rsidR="00D21D5F" w:rsidRPr="000E5A31">
        <w:rPr>
          <w:rFonts w:cs="Arial"/>
          <w:bCs/>
          <w:szCs w:val="22"/>
        </w:rPr>
        <w:t xml:space="preserve">taaten </w:t>
      </w:r>
      <w:r w:rsidRPr="000E5A31">
        <w:rPr>
          <w:rFonts w:cs="Arial"/>
          <w:szCs w:val="22"/>
        </w:rPr>
        <w:t>der Arabischen Liga</w:t>
      </w:r>
      <w:r w:rsidRPr="000E5A31">
        <w:rPr>
          <w:rFonts w:cs="Arial"/>
          <w:bCs/>
          <w:szCs w:val="22"/>
        </w:rPr>
        <w:t xml:space="preserve"> </w:t>
      </w:r>
      <w:r w:rsidR="00D21D5F" w:rsidRPr="000E5A31">
        <w:rPr>
          <w:rFonts w:cs="Arial"/>
          <w:bCs/>
          <w:szCs w:val="22"/>
        </w:rPr>
        <w:t xml:space="preserve">dazu </w:t>
      </w:r>
      <w:r w:rsidRPr="000E5A31">
        <w:rPr>
          <w:rFonts w:cs="Arial"/>
          <w:bCs/>
          <w:szCs w:val="22"/>
        </w:rPr>
        <w:t xml:space="preserve">gehalten, </w:t>
      </w:r>
      <w:r w:rsidR="000B56FC" w:rsidRPr="000E5A31">
        <w:rPr>
          <w:rFonts w:cs="Arial"/>
          <w:bCs/>
          <w:szCs w:val="22"/>
        </w:rPr>
        <w:t xml:space="preserve">bis zum Jahre 2020 reichende </w:t>
      </w:r>
      <w:r w:rsidR="00D21D5F" w:rsidRPr="000E5A31">
        <w:rPr>
          <w:rFonts w:cs="Arial"/>
          <w:bCs/>
          <w:szCs w:val="22"/>
        </w:rPr>
        <w:t>Nati</w:t>
      </w:r>
      <w:r w:rsidR="00D21D5F" w:rsidRPr="000E5A31">
        <w:rPr>
          <w:rFonts w:cs="Arial"/>
          <w:bCs/>
          <w:szCs w:val="22"/>
        </w:rPr>
        <w:t>o</w:t>
      </w:r>
      <w:r w:rsidR="00D21D5F" w:rsidRPr="000E5A31">
        <w:rPr>
          <w:rFonts w:cs="Arial"/>
          <w:bCs/>
          <w:szCs w:val="22"/>
        </w:rPr>
        <w:t>nale</w:t>
      </w:r>
      <w:r w:rsidRPr="000E5A31">
        <w:rPr>
          <w:rFonts w:cs="Arial"/>
          <w:bCs/>
          <w:szCs w:val="22"/>
        </w:rPr>
        <w:t xml:space="preserve"> </w:t>
      </w:r>
      <w:r w:rsidRPr="000E5A31">
        <w:rPr>
          <w:rFonts w:cs="Arial"/>
          <w:szCs w:val="22"/>
        </w:rPr>
        <w:t>Energieeffizienz</w:t>
      </w:r>
      <w:r w:rsidR="000B56FC" w:rsidRPr="000E5A31">
        <w:rPr>
          <w:rFonts w:cs="Arial"/>
          <w:szCs w:val="22"/>
        </w:rPr>
        <w:t>aktions</w:t>
      </w:r>
      <w:r w:rsidRPr="000E5A31">
        <w:rPr>
          <w:rFonts w:cs="Arial"/>
          <w:szCs w:val="22"/>
        </w:rPr>
        <w:t>p</w:t>
      </w:r>
      <w:r w:rsidR="00D21D5F" w:rsidRPr="000E5A31">
        <w:rPr>
          <w:rFonts w:cs="Arial"/>
          <w:bCs/>
          <w:szCs w:val="22"/>
        </w:rPr>
        <w:t xml:space="preserve">läne (NEEAPs) zu entwickeln. Derzeit haben Ägypten, Libanon, Jordanien, die Palästinensischen </w:t>
      </w:r>
      <w:r w:rsidR="000B56FC" w:rsidRPr="000E5A31">
        <w:rPr>
          <w:rFonts w:cs="Arial"/>
          <w:bCs/>
          <w:szCs w:val="22"/>
        </w:rPr>
        <w:t>G</w:t>
      </w:r>
      <w:r w:rsidR="00D21D5F" w:rsidRPr="000E5A31">
        <w:rPr>
          <w:rFonts w:cs="Arial"/>
          <w:bCs/>
          <w:szCs w:val="22"/>
        </w:rPr>
        <w:t xml:space="preserve">ebiete, Sudan und Tunesien NEEAPs verabschiedet. </w:t>
      </w:r>
      <w:r w:rsidRPr="000E5A31">
        <w:rPr>
          <w:rFonts w:cs="Arial"/>
          <w:bCs/>
          <w:szCs w:val="22"/>
        </w:rPr>
        <w:t xml:space="preserve">Von allen arabischen Staaten hat </w:t>
      </w:r>
      <w:r w:rsidR="00EB367A" w:rsidRPr="000E5A31">
        <w:rPr>
          <w:rFonts w:eastAsiaTheme="minorHAnsi" w:cs="Arial"/>
          <w:szCs w:val="22"/>
          <w:lang w:eastAsia="en-US"/>
        </w:rPr>
        <w:t xml:space="preserve">Tunesien </w:t>
      </w:r>
      <w:r w:rsidRPr="000E5A31">
        <w:rPr>
          <w:rFonts w:eastAsiaTheme="minorHAnsi" w:cs="Arial"/>
          <w:szCs w:val="22"/>
          <w:lang w:eastAsia="en-US"/>
        </w:rPr>
        <w:t xml:space="preserve">die bislang </w:t>
      </w:r>
      <w:r w:rsidR="00EB367A" w:rsidRPr="000E5A31">
        <w:rPr>
          <w:rFonts w:eastAsiaTheme="minorHAnsi" w:cs="Arial"/>
          <w:szCs w:val="22"/>
          <w:lang w:eastAsia="en-US"/>
        </w:rPr>
        <w:t>konsequent</w:t>
      </w:r>
      <w:r w:rsidRPr="000E5A31">
        <w:rPr>
          <w:rFonts w:eastAsiaTheme="minorHAnsi" w:cs="Arial"/>
          <w:szCs w:val="22"/>
          <w:lang w:eastAsia="en-US"/>
        </w:rPr>
        <w:t xml:space="preserve">este EE-Politik. </w:t>
      </w:r>
      <w:r w:rsidR="000B56FC" w:rsidRPr="000E5A31">
        <w:rPr>
          <w:rFonts w:eastAsiaTheme="minorHAnsi" w:cs="Arial"/>
          <w:szCs w:val="22"/>
          <w:lang w:eastAsia="en-US"/>
        </w:rPr>
        <w:t>B</w:t>
      </w:r>
      <w:r w:rsidR="00EB367A" w:rsidRPr="000E5A31">
        <w:rPr>
          <w:rFonts w:eastAsiaTheme="minorHAnsi" w:cs="Arial"/>
          <w:szCs w:val="22"/>
          <w:lang w:eastAsia="en-US"/>
        </w:rPr>
        <w:t xml:space="preserve">ereits 2004 </w:t>
      </w:r>
      <w:r w:rsidR="000B56FC" w:rsidRPr="000E5A31">
        <w:rPr>
          <w:rFonts w:eastAsiaTheme="minorHAnsi" w:cs="Arial"/>
          <w:szCs w:val="22"/>
          <w:lang w:eastAsia="en-US"/>
        </w:rPr>
        <w:t xml:space="preserve">hat es </w:t>
      </w:r>
      <w:r w:rsidR="00EB367A" w:rsidRPr="000E5A31">
        <w:rPr>
          <w:rFonts w:eastAsiaTheme="minorHAnsi" w:cs="Arial"/>
          <w:szCs w:val="22"/>
          <w:lang w:eastAsia="en-US"/>
        </w:rPr>
        <w:t xml:space="preserve">einen NEEAP </w:t>
      </w:r>
      <w:r w:rsidR="00714B11" w:rsidRPr="000E5A31">
        <w:rPr>
          <w:rFonts w:eastAsiaTheme="minorHAnsi" w:cs="Arial"/>
          <w:szCs w:val="22"/>
          <w:lang w:eastAsia="en-US"/>
        </w:rPr>
        <w:t>verabschiedet</w:t>
      </w:r>
      <w:r w:rsidRPr="000E5A31">
        <w:rPr>
          <w:rFonts w:eastAsiaTheme="minorHAnsi" w:cs="Arial"/>
          <w:szCs w:val="22"/>
          <w:lang w:eastAsia="en-US"/>
        </w:rPr>
        <w:t xml:space="preserve">, mit klaren </w:t>
      </w:r>
      <w:r w:rsidR="00EB367A" w:rsidRPr="000E5A31">
        <w:rPr>
          <w:rFonts w:eastAsiaTheme="minorHAnsi" w:cs="Arial"/>
          <w:szCs w:val="22"/>
          <w:lang w:eastAsia="en-US"/>
        </w:rPr>
        <w:t>Reg</w:t>
      </w:r>
      <w:r w:rsidRPr="000E5A31">
        <w:rPr>
          <w:rFonts w:eastAsiaTheme="minorHAnsi" w:cs="Arial"/>
          <w:szCs w:val="22"/>
          <w:lang w:eastAsia="en-US"/>
        </w:rPr>
        <w:t>el</w:t>
      </w:r>
      <w:r w:rsidR="00EB367A" w:rsidRPr="000E5A31">
        <w:rPr>
          <w:rFonts w:eastAsiaTheme="minorHAnsi" w:cs="Arial"/>
          <w:szCs w:val="22"/>
          <w:lang w:eastAsia="en-US"/>
        </w:rPr>
        <w:t xml:space="preserve">ungen </w:t>
      </w:r>
      <w:r w:rsidRPr="000E5A31">
        <w:rPr>
          <w:rFonts w:eastAsiaTheme="minorHAnsi" w:cs="Arial"/>
          <w:szCs w:val="22"/>
          <w:lang w:eastAsia="en-US"/>
        </w:rPr>
        <w:t xml:space="preserve">für den Wohnungs-, </w:t>
      </w:r>
      <w:r w:rsidR="00EB367A" w:rsidRPr="000E5A31">
        <w:rPr>
          <w:rFonts w:eastAsiaTheme="minorHAnsi" w:cs="Arial"/>
          <w:szCs w:val="22"/>
          <w:lang w:eastAsia="en-US"/>
        </w:rPr>
        <w:t>Industrie</w:t>
      </w:r>
      <w:r w:rsidRPr="000E5A31">
        <w:rPr>
          <w:rFonts w:eastAsiaTheme="minorHAnsi" w:cs="Arial"/>
          <w:szCs w:val="22"/>
          <w:lang w:eastAsia="en-US"/>
        </w:rPr>
        <w:t>-</w:t>
      </w:r>
      <w:r w:rsidR="000B56FC" w:rsidRPr="000E5A31">
        <w:rPr>
          <w:rFonts w:eastAsiaTheme="minorHAnsi" w:cs="Arial"/>
          <w:szCs w:val="22"/>
          <w:lang w:eastAsia="en-US"/>
        </w:rPr>
        <w:t xml:space="preserve">, Energie- </w:t>
      </w:r>
      <w:r w:rsidRPr="000E5A31">
        <w:rPr>
          <w:rFonts w:eastAsiaTheme="minorHAnsi" w:cs="Arial"/>
          <w:szCs w:val="22"/>
          <w:lang w:eastAsia="en-US"/>
        </w:rPr>
        <w:t>und Diens</w:t>
      </w:r>
      <w:r w:rsidR="000B56FC" w:rsidRPr="000E5A31">
        <w:rPr>
          <w:rFonts w:eastAsiaTheme="minorHAnsi" w:cs="Arial"/>
          <w:szCs w:val="22"/>
          <w:lang w:eastAsia="en-US"/>
        </w:rPr>
        <w:t>t</w:t>
      </w:r>
      <w:r w:rsidRPr="000E5A31">
        <w:rPr>
          <w:rFonts w:eastAsiaTheme="minorHAnsi" w:cs="Arial"/>
          <w:szCs w:val="22"/>
          <w:lang w:eastAsia="en-US"/>
        </w:rPr>
        <w:t>leistungss</w:t>
      </w:r>
      <w:r w:rsidR="00EB367A" w:rsidRPr="000E5A31">
        <w:rPr>
          <w:rFonts w:eastAsiaTheme="minorHAnsi" w:cs="Arial"/>
          <w:szCs w:val="22"/>
          <w:lang w:eastAsia="en-US"/>
        </w:rPr>
        <w:t xml:space="preserve">ektor, </w:t>
      </w:r>
      <w:r w:rsidR="000B56FC" w:rsidRPr="000E5A31">
        <w:rPr>
          <w:rFonts w:eastAsiaTheme="minorHAnsi" w:cs="Arial"/>
          <w:szCs w:val="22"/>
          <w:lang w:eastAsia="en-US"/>
        </w:rPr>
        <w:t xml:space="preserve">inkl. </w:t>
      </w:r>
      <w:r w:rsidR="00EB367A" w:rsidRPr="000E5A31">
        <w:rPr>
          <w:rFonts w:eastAsiaTheme="minorHAnsi" w:cs="Arial"/>
          <w:szCs w:val="22"/>
          <w:lang w:eastAsia="en-US"/>
        </w:rPr>
        <w:t>Beleuchtung</w:t>
      </w:r>
      <w:r w:rsidR="000B56FC" w:rsidRPr="000E5A31">
        <w:rPr>
          <w:rFonts w:eastAsiaTheme="minorHAnsi" w:cs="Arial"/>
          <w:szCs w:val="22"/>
          <w:lang w:eastAsia="en-US"/>
        </w:rPr>
        <w:t xml:space="preserve"> und</w:t>
      </w:r>
      <w:r w:rsidR="00EB367A" w:rsidRPr="000E5A31">
        <w:rPr>
          <w:rFonts w:eastAsiaTheme="minorHAnsi" w:cs="Arial"/>
          <w:szCs w:val="22"/>
          <w:lang w:eastAsia="en-US"/>
        </w:rPr>
        <w:t xml:space="preserve"> Geräteeffizienz. </w:t>
      </w:r>
      <w:r w:rsidR="006B6807" w:rsidRPr="000E5A31">
        <w:rPr>
          <w:rFonts w:eastAsiaTheme="minorHAnsi" w:cs="Arial"/>
          <w:szCs w:val="22"/>
          <w:lang w:eastAsia="en-US"/>
        </w:rPr>
        <w:t>Die meisten a</w:t>
      </w:r>
      <w:r w:rsidR="006B6807" w:rsidRPr="000E5A31">
        <w:rPr>
          <w:rFonts w:eastAsiaTheme="minorHAnsi" w:cs="Arial"/>
          <w:szCs w:val="22"/>
          <w:lang w:eastAsia="en-US"/>
        </w:rPr>
        <w:t>n</w:t>
      </w:r>
      <w:r w:rsidR="006B6807" w:rsidRPr="000E5A31">
        <w:rPr>
          <w:rFonts w:eastAsiaTheme="minorHAnsi" w:cs="Arial"/>
          <w:szCs w:val="22"/>
          <w:lang w:eastAsia="en-US"/>
        </w:rPr>
        <w:t>deren Länder sind hiervon noch weit entfernt, auch wenn einige von ihnen aufholen. Ein Me</w:t>
      </w:r>
      <w:r w:rsidR="006B6807" w:rsidRPr="000E5A31">
        <w:rPr>
          <w:rFonts w:eastAsiaTheme="minorHAnsi" w:cs="Arial"/>
          <w:szCs w:val="22"/>
          <w:lang w:eastAsia="en-US"/>
        </w:rPr>
        <w:t>i</w:t>
      </w:r>
      <w:r w:rsidR="006B6807" w:rsidRPr="000E5A31">
        <w:rPr>
          <w:rFonts w:eastAsiaTheme="minorHAnsi" w:cs="Arial"/>
          <w:szCs w:val="22"/>
          <w:lang w:eastAsia="en-US"/>
        </w:rPr>
        <w:t xml:space="preserve">lenstein stellte z.B. in Marokko die jüngste Verabschiedung der Durchführungsverordnung für EE im Gebäudesektor dar, die mehrere Jahre lang ein hochkontroverses Thema war. </w:t>
      </w:r>
    </w:p>
    <w:p w:rsidR="00EB367A" w:rsidRPr="000E5A31" w:rsidRDefault="00EB367A" w:rsidP="00EB367A">
      <w:pPr>
        <w:autoSpaceDE w:val="0"/>
        <w:autoSpaceDN w:val="0"/>
        <w:adjustRightInd w:val="0"/>
        <w:spacing w:after="120"/>
        <w:jc w:val="both"/>
        <w:rPr>
          <w:rFonts w:eastAsiaTheme="minorHAnsi" w:cs="Arial"/>
          <w:szCs w:val="22"/>
          <w:lang w:eastAsia="en-US"/>
        </w:rPr>
      </w:pPr>
      <w:r w:rsidRPr="000E5A31">
        <w:rPr>
          <w:rFonts w:eastAsiaTheme="minorHAnsi" w:cs="Arial"/>
          <w:szCs w:val="22"/>
          <w:lang w:eastAsia="en-US"/>
        </w:rPr>
        <w:t xml:space="preserve">Der bisher </w:t>
      </w:r>
      <w:r w:rsidR="006B6807" w:rsidRPr="000E5A31">
        <w:rPr>
          <w:rFonts w:eastAsiaTheme="minorHAnsi" w:cs="Arial"/>
          <w:szCs w:val="22"/>
          <w:lang w:eastAsia="en-US"/>
        </w:rPr>
        <w:t xml:space="preserve">in </w:t>
      </w:r>
      <w:r w:rsidRPr="000E5A31">
        <w:rPr>
          <w:rFonts w:eastAsiaTheme="minorHAnsi" w:cs="Arial"/>
          <w:szCs w:val="22"/>
          <w:lang w:eastAsia="en-US"/>
        </w:rPr>
        <w:t>EE-</w:t>
      </w:r>
      <w:r w:rsidR="006B6807" w:rsidRPr="000E5A31">
        <w:rPr>
          <w:rFonts w:eastAsiaTheme="minorHAnsi" w:cs="Arial"/>
          <w:szCs w:val="22"/>
          <w:lang w:eastAsia="en-US"/>
        </w:rPr>
        <w:t xml:space="preserve">Hinsicht noch </w:t>
      </w:r>
      <w:r w:rsidRPr="000E5A31">
        <w:rPr>
          <w:rFonts w:eastAsiaTheme="minorHAnsi" w:cs="Arial"/>
          <w:szCs w:val="22"/>
          <w:lang w:eastAsia="en-US"/>
        </w:rPr>
        <w:t>am wenigsten regulierte Bereich mit dem größten Verbess</w:t>
      </w:r>
      <w:r w:rsidRPr="000E5A31">
        <w:rPr>
          <w:rFonts w:eastAsiaTheme="minorHAnsi" w:cs="Arial"/>
          <w:szCs w:val="22"/>
          <w:lang w:eastAsia="en-US"/>
        </w:rPr>
        <w:t>e</w:t>
      </w:r>
      <w:r w:rsidRPr="000E5A31">
        <w:rPr>
          <w:rFonts w:eastAsiaTheme="minorHAnsi" w:cs="Arial"/>
          <w:szCs w:val="22"/>
          <w:lang w:eastAsia="en-US"/>
        </w:rPr>
        <w:t>rungspotenzial ist der Industriesektor.</w:t>
      </w:r>
      <w:r w:rsidR="006B6807" w:rsidRPr="000E5A31">
        <w:rPr>
          <w:rFonts w:eastAsiaTheme="minorHAnsi" w:cs="Arial"/>
          <w:szCs w:val="22"/>
          <w:lang w:eastAsia="en-US"/>
        </w:rPr>
        <w:t xml:space="preserve"> Angesichts rasch steigender Strom- und </w:t>
      </w:r>
      <w:r w:rsidR="00714B11" w:rsidRPr="000E5A31">
        <w:rPr>
          <w:rFonts w:eastAsiaTheme="minorHAnsi" w:cs="Arial"/>
          <w:szCs w:val="22"/>
          <w:lang w:eastAsia="en-US"/>
        </w:rPr>
        <w:t>tlw.</w:t>
      </w:r>
      <w:r w:rsidR="006B6807" w:rsidRPr="000E5A31">
        <w:rPr>
          <w:rFonts w:eastAsiaTheme="minorHAnsi" w:cs="Arial"/>
          <w:szCs w:val="22"/>
          <w:lang w:eastAsia="en-US"/>
        </w:rPr>
        <w:t xml:space="preserve"> </w:t>
      </w:r>
      <w:r w:rsidR="006F05D9" w:rsidRPr="000E5A31">
        <w:rPr>
          <w:rFonts w:eastAsiaTheme="minorHAnsi" w:cs="Arial"/>
          <w:szCs w:val="22"/>
          <w:lang w:eastAsia="en-US"/>
        </w:rPr>
        <w:t>a</w:t>
      </w:r>
      <w:r w:rsidR="006B6807" w:rsidRPr="000E5A31">
        <w:rPr>
          <w:rFonts w:eastAsiaTheme="minorHAnsi" w:cs="Arial"/>
          <w:szCs w:val="22"/>
          <w:lang w:eastAsia="en-US"/>
        </w:rPr>
        <w:t xml:space="preserve">uch Gaspreise für Industrieunternehmen haben immer mehr </w:t>
      </w:r>
      <w:r w:rsidR="000B56FC" w:rsidRPr="000E5A31">
        <w:rPr>
          <w:rFonts w:eastAsiaTheme="minorHAnsi" w:cs="Arial"/>
          <w:szCs w:val="22"/>
          <w:lang w:eastAsia="en-US"/>
        </w:rPr>
        <w:t xml:space="preserve">von </w:t>
      </w:r>
      <w:r w:rsidR="00714B11" w:rsidRPr="000E5A31">
        <w:rPr>
          <w:rFonts w:eastAsiaTheme="minorHAnsi" w:cs="Arial"/>
          <w:szCs w:val="22"/>
          <w:lang w:eastAsia="en-US"/>
        </w:rPr>
        <w:t>ihnen</w:t>
      </w:r>
      <w:r w:rsidR="006B6807" w:rsidRPr="000E5A31">
        <w:rPr>
          <w:rFonts w:eastAsiaTheme="minorHAnsi" w:cs="Arial"/>
          <w:szCs w:val="22"/>
          <w:lang w:eastAsia="en-US"/>
        </w:rPr>
        <w:t xml:space="preserve"> das Probl</w:t>
      </w:r>
      <w:r w:rsidR="006F05D9" w:rsidRPr="000E5A31">
        <w:rPr>
          <w:rFonts w:eastAsiaTheme="minorHAnsi" w:cs="Arial"/>
          <w:szCs w:val="22"/>
          <w:lang w:eastAsia="en-US"/>
        </w:rPr>
        <w:t>e</w:t>
      </w:r>
      <w:r w:rsidR="006B6807" w:rsidRPr="000E5A31">
        <w:rPr>
          <w:rFonts w:eastAsiaTheme="minorHAnsi" w:cs="Arial"/>
          <w:szCs w:val="22"/>
          <w:lang w:eastAsia="en-US"/>
        </w:rPr>
        <w:t>m erkannt und sind zu Investitionen bereit. Es fehlen aber in allen Fällen noch verlässliche Daten über die aktuellen Entwicklungen und meist auch geeignete Anbieter von EE-Dienstleistungen.</w:t>
      </w:r>
    </w:p>
    <w:p w:rsidR="00772C92" w:rsidRPr="000E5A31" w:rsidRDefault="006F05D9" w:rsidP="005435C5">
      <w:pPr>
        <w:autoSpaceDE w:val="0"/>
        <w:autoSpaceDN w:val="0"/>
        <w:adjustRightInd w:val="0"/>
        <w:spacing w:after="120"/>
        <w:jc w:val="both"/>
        <w:rPr>
          <w:rFonts w:eastAsiaTheme="minorHAnsi" w:cs="Arial"/>
          <w:szCs w:val="22"/>
          <w:lang w:eastAsia="en-US"/>
        </w:rPr>
      </w:pPr>
      <w:r w:rsidRPr="000E5A31">
        <w:rPr>
          <w:rFonts w:eastAsiaTheme="minorHAnsi" w:cs="Arial"/>
          <w:szCs w:val="22"/>
          <w:lang w:eastAsia="en-US"/>
        </w:rPr>
        <w:t>Die drastischen Reduzierungen fossiler Sub</w:t>
      </w:r>
      <w:r w:rsidR="00C76192" w:rsidRPr="000E5A31">
        <w:rPr>
          <w:rFonts w:eastAsiaTheme="minorHAnsi" w:cs="Arial"/>
          <w:szCs w:val="22"/>
          <w:lang w:eastAsia="en-US"/>
        </w:rPr>
        <w:t>v</w:t>
      </w:r>
      <w:r w:rsidRPr="000E5A31">
        <w:rPr>
          <w:rFonts w:eastAsiaTheme="minorHAnsi" w:cs="Arial"/>
          <w:szCs w:val="22"/>
          <w:lang w:eastAsia="en-US"/>
        </w:rPr>
        <w:t>e</w:t>
      </w:r>
      <w:r w:rsidR="00C76192" w:rsidRPr="000E5A31">
        <w:rPr>
          <w:rFonts w:eastAsiaTheme="minorHAnsi" w:cs="Arial"/>
          <w:szCs w:val="22"/>
          <w:lang w:eastAsia="en-US"/>
        </w:rPr>
        <w:t>n</w:t>
      </w:r>
      <w:r w:rsidRPr="000E5A31">
        <w:rPr>
          <w:rFonts w:eastAsiaTheme="minorHAnsi" w:cs="Arial"/>
          <w:szCs w:val="22"/>
          <w:lang w:eastAsia="en-US"/>
        </w:rPr>
        <w:t xml:space="preserve">tionen der letzten Jahre haben auch für RE/EE im ländlichen bzw. landwirtschaftlichen Bereich Marktchancen geschaffen, die </w:t>
      </w:r>
      <w:r w:rsidR="00C76192" w:rsidRPr="000E5A31">
        <w:rPr>
          <w:rFonts w:eastAsiaTheme="minorHAnsi" w:cs="Arial"/>
          <w:szCs w:val="22"/>
          <w:lang w:eastAsia="en-US"/>
        </w:rPr>
        <w:t>so</w:t>
      </w:r>
      <w:r w:rsidR="000B56FC" w:rsidRPr="000E5A31">
        <w:rPr>
          <w:rFonts w:eastAsiaTheme="minorHAnsi" w:cs="Arial"/>
          <w:szCs w:val="22"/>
          <w:lang w:eastAsia="en-US"/>
        </w:rPr>
        <w:t xml:space="preserve"> </w:t>
      </w:r>
      <w:r w:rsidRPr="000E5A31">
        <w:rPr>
          <w:rFonts w:eastAsiaTheme="minorHAnsi" w:cs="Arial"/>
          <w:szCs w:val="22"/>
          <w:lang w:eastAsia="en-US"/>
        </w:rPr>
        <w:t xml:space="preserve">bis </w:t>
      </w:r>
      <w:r w:rsidR="000B56FC" w:rsidRPr="000E5A31">
        <w:rPr>
          <w:rFonts w:eastAsiaTheme="minorHAnsi" w:cs="Arial"/>
          <w:szCs w:val="22"/>
          <w:lang w:eastAsia="en-US"/>
        </w:rPr>
        <w:t xml:space="preserve">vor </w:t>
      </w:r>
      <w:r w:rsidRPr="000E5A31">
        <w:rPr>
          <w:rFonts w:eastAsiaTheme="minorHAnsi" w:cs="Arial"/>
          <w:szCs w:val="22"/>
          <w:lang w:eastAsia="en-US"/>
        </w:rPr>
        <w:t>kurzem noch nicht zu erwarten w</w:t>
      </w:r>
      <w:r w:rsidR="000B56FC" w:rsidRPr="000E5A31">
        <w:rPr>
          <w:rFonts w:eastAsiaTheme="minorHAnsi" w:cs="Arial"/>
          <w:szCs w:val="22"/>
          <w:lang w:eastAsia="en-US"/>
        </w:rPr>
        <w:t>a</w:t>
      </w:r>
      <w:r w:rsidRPr="000E5A31">
        <w:rPr>
          <w:rFonts w:eastAsiaTheme="minorHAnsi" w:cs="Arial"/>
          <w:szCs w:val="22"/>
          <w:lang w:eastAsia="en-US"/>
        </w:rPr>
        <w:t xml:space="preserve">ren. Dies gilt </w:t>
      </w:r>
      <w:r w:rsidR="00C76192" w:rsidRPr="000E5A31">
        <w:rPr>
          <w:rFonts w:eastAsiaTheme="minorHAnsi" w:cs="Arial"/>
          <w:szCs w:val="22"/>
          <w:lang w:eastAsia="en-US"/>
        </w:rPr>
        <w:t xml:space="preserve">v.a. </w:t>
      </w:r>
      <w:r w:rsidRPr="000E5A31">
        <w:rPr>
          <w:rFonts w:eastAsiaTheme="minorHAnsi" w:cs="Arial"/>
          <w:szCs w:val="22"/>
          <w:lang w:eastAsia="en-US"/>
        </w:rPr>
        <w:t xml:space="preserve">für den Einsatz solar betriebener Pumpen sowie solarer </w:t>
      </w:r>
      <w:r w:rsidR="00714B11" w:rsidRPr="000E5A31">
        <w:rPr>
          <w:rFonts w:eastAsiaTheme="minorHAnsi" w:cs="Arial"/>
          <w:szCs w:val="22"/>
          <w:lang w:eastAsia="en-US"/>
        </w:rPr>
        <w:t>Trocknung</w:t>
      </w:r>
      <w:r w:rsidRPr="000E5A31">
        <w:rPr>
          <w:rFonts w:eastAsiaTheme="minorHAnsi" w:cs="Arial"/>
          <w:szCs w:val="22"/>
          <w:lang w:eastAsia="en-US"/>
        </w:rPr>
        <w:t xml:space="preserve"> und Kühlung in der Lebensmittellagerung und –verarbeitung. </w:t>
      </w:r>
      <w:r w:rsidR="000B56FC" w:rsidRPr="000E5A31">
        <w:rPr>
          <w:rFonts w:eastAsiaTheme="minorHAnsi" w:cs="Arial"/>
          <w:szCs w:val="22"/>
          <w:lang w:eastAsia="en-US"/>
        </w:rPr>
        <w:t xml:space="preserve">Oft scheitert </w:t>
      </w:r>
      <w:r w:rsidR="00C76192" w:rsidRPr="000E5A31">
        <w:rPr>
          <w:rFonts w:eastAsiaTheme="minorHAnsi" w:cs="Arial"/>
          <w:szCs w:val="22"/>
          <w:lang w:eastAsia="en-US"/>
        </w:rPr>
        <w:t xml:space="preserve">dies aber noch am Fehlen geeigneter </w:t>
      </w:r>
      <w:r w:rsidR="00714B11" w:rsidRPr="000E5A31">
        <w:rPr>
          <w:rFonts w:eastAsiaTheme="minorHAnsi" w:cs="Arial"/>
          <w:szCs w:val="22"/>
          <w:lang w:eastAsia="en-US"/>
        </w:rPr>
        <w:t>Förderinstrumente</w:t>
      </w:r>
      <w:r w:rsidR="00C76192" w:rsidRPr="000E5A31">
        <w:rPr>
          <w:rFonts w:eastAsiaTheme="minorHAnsi" w:cs="Arial"/>
          <w:szCs w:val="22"/>
          <w:lang w:eastAsia="en-US"/>
        </w:rPr>
        <w:t xml:space="preserve"> oder kl</w:t>
      </w:r>
      <w:r w:rsidR="00C76192" w:rsidRPr="000E5A31">
        <w:rPr>
          <w:rFonts w:eastAsiaTheme="minorHAnsi" w:cs="Arial"/>
          <w:szCs w:val="22"/>
          <w:lang w:eastAsia="en-US"/>
        </w:rPr>
        <w:t>a</w:t>
      </w:r>
      <w:r w:rsidR="00C76192" w:rsidRPr="000E5A31">
        <w:rPr>
          <w:rFonts w:eastAsiaTheme="minorHAnsi" w:cs="Arial"/>
          <w:szCs w:val="22"/>
          <w:lang w:eastAsia="en-US"/>
        </w:rPr>
        <w:t xml:space="preserve">rer </w:t>
      </w:r>
      <w:r w:rsidR="00714B11" w:rsidRPr="000E5A31">
        <w:rPr>
          <w:rFonts w:eastAsiaTheme="minorHAnsi" w:cs="Arial"/>
          <w:szCs w:val="22"/>
          <w:lang w:eastAsia="en-US"/>
        </w:rPr>
        <w:t>rechtlicher</w:t>
      </w:r>
      <w:r w:rsidR="00C76192" w:rsidRPr="000E5A31">
        <w:rPr>
          <w:rFonts w:eastAsiaTheme="minorHAnsi" w:cs="Arial"/>
          <w:szCs w:val="22"/>
          <w:lang w:eastAsia="en-US"/>
        </w:rPr>
        <w:t xml:space="preserve"> Rahmenbedingungen, wie z.B. in</w:t>
      </w:r>
      <w:r w:rsidR="00142342" w:rsidRPr="000E5A31">
        <w:rPr>
          <w:rFonts w:eastAsiaTheme="minorHAnsi" w:cs="Arial"/>
          <w:szCs w:val="22"/>
          <w:lang w:eastAsia="en-US"/>
        </w:rPr>
        <w:t xml:space="preserve"> Marok</w:t>
      </w:r>
      <w:r w:rsidR="00C76192" w:rsidRPr="000E5A31">
        <w:rPr>
          <w:rFonts w:eastAsiaTheme="minorHAnsi" w:cs="Arial"/>
          <w:szCs w:val="22"/>
          <w:lang w:eastAsia="en-US"/>
        </w:rPr>
        <w:t xml:space="preserve">ko, wo </w:t>
      </w:r>
      <w:r w:rsidR="001A3D0C" w:rsidRPr="000E5A31">
        <w:rPr>
          <w:rFonts w:eastAsiaTheme="minorHAnsi" w:cs="Arial"/>
          <w:szCs w:val="22"/>
          <w:lang w:eastAsia="en-US"/>
        </w:rPr>
        <w:t xml:space="preserve">die Einführung </w:t>
      </w:r>
      <w:r w:rsidR="00554335" w:rsidRPr="000E5A31">
        <w:rPr>
          <w:rFonts w:eastAsiaTheme="minorHAnsi" w:cs="Arial"/>
          <w:szCs w:val="22"/>
          <w:lang w:eastAsia="en-US"/>
        </w:rPr>
        <w:t>von Förderp</w:t>
      </w:r>
      <w:r w:rsidR="001A3D0C" w:rsidRPr="000E5A31">
        <w:rPr>
          <w:rFonts w:eastAsiaTheme="minorHAnsi" w:cs="Arial"/>
          <w:szCs w:val="22"/>
          <w:lang w:eastAsia="en-US"/>
        </w:rPr>
        <w:t>r</w:t>
      </w:r>
      <w:r w:rsidR="001A3D0C" w:rsidRPr="000E5A31">
        <w:rPr>
          <w:rFonts w:eastAsiaTheme="minorHAnsi" w:cs="Arial"/>
          <w:szCs w:val="22"/>
          <w:lang w:eastAsia="en-US"/>
        </w:rPr>
        <w:t>ä</w:t>
      </w:r>
      <w:r w:rsidR="001A3D0C" w:rsidRPr="000E5A31">
        <w:rPr>
          <w:rFonts w:eastAsiaTheme="minorHAnsi" w:cs="Arial"/>
          <w:szCs w:val="22"/>
          <w:lang w:eastAsia="en-US"/>
        </w:rPr>
        <w:t xml:space="preserve">mien für Solarpumpen </w:t>
      </w:r>
      <w:r w:rsidR="00C76192" w:rsidRPr="000E5A31">
        <w:rPr>
          <w:rFonts w:eastAsiaTheme="minorHAnsi" w:cs="Arial"/>
          <w:szCs w:val="22"/>
          <w:lang w:eastAsia="en-US"/>
        </w:rPr>
        <w:t>bis heute am Wi</w:t>
      </w:r>
      <w:r w:rsidR="00975F1E" w:rsidRPr="000E5A31">
        <w:rPr>
          <w:rFonts w:eastAsiaTheme="minorHAnsi" w:cs="Arial"/>
          <w:szCs w:val="22"/>
          <w:lang w:eastAsia="en-US"/>
        </w:rPr>
        <w:t xml:space="preserve">derstand des Finanzministeriums </w:t>
      </w:r>
      <w:r w:rsidR="00C76192" w:rsidRPr="000E5A31">
        <w:rPr>
          <w:rFonts w:eastAsiaTheme="minorHAnsi" w:cs="Arial"/>
          <w:szCs w:val="22"/>
          <w:lang w:eastAsia="en-US"/>
        </w:rPr>
        <w:t>gescheitert ist</w:t>
      </w:r>
      <w:r w:rsidR="00142342" w:rsidRPr="000E5A31">
        <w:rPr>
          <w:rFonts w:eastAsiaTheme="minorHAnsi" w:cs="Arial"/>
          <w:szCs w:val="22"/>
          <w:lang w:eastAsia="en-US"/>
        </w:rPr>
        <w:t>.</w:t>
      </w:r>
    </w:p>
    <w:p w:rsidR="001A3C3D" w:rsidRPr="000E5A31" w:rsidRDefault="001A3C3D" w:rsidP="00EB367A">
      <w:pPr>
        <w:autoSpaceDE w:val="0"/>
        <w:autoSpaceDN w:val="0"/>
        <w:adjustRightInd w:val="0"/>
        <w:spacing w:after="120"/>
        <w:jc w:val="both"/>
        <w:rPr>
          <w:rFonts w:cs="Arial"/>
          <w:szCs w:val="22"/>
        </w:rPr>
      </w:pPr>
    </w:p>
    <w:p w:rsidR="00415D96" w:rsidRPr="000E5A31" w:rsidRDefault="0088567D" w:rsidP="000C5AD2">
      <w:pPr>
        <w:pStyle w:val="berschrift2"/>
        <w:rPr>
          <w:b/>
          <w:i/>
        </w:rPr>
      </w:pPr>
      <w:bookmarkStart w:id="4" w:name="_Toc396989032"/>
      <w:r w:rsidRPr="000E5A31">
        <w:rPr>
          <w:b/>
          <w:i/>
        </w:rPr>
        <w:t>A.</w:t>
      </w:r>
      <w:r w:rsidR="00415D96" w:rsidRPr="000E5A31">
        <w:rPr>
          <w:b/>
          <w:i/>
        </w:rPr>
        <w:t>2.</w:t>
      </w:r>
      <w:r w:rsidR="00D25D55" w:rsidRPr="000E5A31">
        <w:rPr>
          <w:b/>
          <w:i/>
        </w:rPr>
        <w:t>2</w:t>
      </w:r>
      <w:r w:rsidR="00415D96" w:rsidRPr="000E5A31">
        <w:rPr>
          <w:b/>
          <w:i/>
        </w:rPr>
        <w:tab/>
      </w:r>
      <w:r w:rsidRPr="000E5A31">
        <w:rPr>
          <w:b/>
          <w:i/>
        </w:rPr>
        <w:t xml:space="preserve">Entwicklungen </w:t>
      </w:r>
      <w:r w:rsidR="00497322" w:rsidRPr="000E5A31">
        <w:rPr>
          <w:b/>
          <w:i/>
        </w:rPr>
        <w:t>bei wichtigen Akteuren, Entscheidungsträgern und Trägerinst</w:t>
      </w:r>
      <w:r w:rsidR="00497322" w:rsidRPr="000E5A31">
        <w:rPr>
          <w:b/>
          <w:i/>
        </w:rPr>
        <w:t>i</w:t>
      </w:r>
      <w:r w:rsidR="00497322" w:rsidRPr="000E5A31">
        <w:rPr>
          <w:b/>
          <w:i/>
        </w:rPr>
        <w:t>tutionen des Kooperationslandes</w:t>
      </w:r>
      <w:bookmarkEnd w:id="4"/>
    </w:p>
    <w:p w:rsidR="00EB367A" w:rsidRPr="000E5A31" w:rsidRDefault="00EB367A" w:rsidP="00EB367A">
      <w:pPr>
        <w:autoSpaceDE w:val="0"/>
        <w:autoSpaceDN w:val="0"/>
        <w:adjustRightInd w:val="0"/>
        <w:spacing w:after="120"/>
        <w:jc w:val="both"/>
        <w:rPr>
          <w:rFonts w:cs="Arial"/>
          <w:b/>
          <w:noProof/>
          <w:szCs w:val="22"/>
        </w:rPr>
      </w:pPr>
    </w:p>
    <w:p w:rsidR="00415D96" w:rsidRPr="000E5A31" w:rsidRDefault="00C7102D" w:rsidP="00604D85">
      <w:pPr>
        <w:autoSpaceDE w:val="0"/>
        <w:autoSpaceDN w:val="0"/>
        <w:adjustRightInd w:val="0"/>
        <w:spacing w:after="120"/>
        <w:jc w:val="both"/>
        <w:rPr>
          <w:rFonts w:cs="Arial"/>
          <w:szCs w:val="22"/>
        </w:rPr>
      </w:pPr>
      <w:r w:rsidRPr="000E5A31">
        <w:rPr>
          <w:rFonts w:cs="Arial"/>
          <w:b/>
          <w:noProof/>
          <w:szCs w:val="22"/>
        </w:rPr>
        <w:t>M</w:t>
      </w:r>
      <w:r w:rsidR="00AB7712" w:rsidRPr="000E5A31">
        <w:rPr>
          <w:rFonts w:cs="Arial"/>
          <w:b/>
          <w:noProof/>
          <w:szCs w:val="22"/>
        </w:rPr>
        <w:t>arokko</w:t>
      </w:r>
      <w:r w:rsidRPr="000E5A31">
        <w:rPr>
          <w:rFonts w:cs="Arial"/>
          <w:b/>
          <w:noProof/>
          <w:szCs w:val="22"/>
        </w:rPr>
        <w:t xml:space="preserve">: </w:t>
      </w:r>
      <w:r w:rsidR="00046602" w:rsidRPr="000E5A31">
        <w:rPr>
          <w:rFonts w:cs="Arial"/>
          <w:noProof/>
          <w:szCs w:val="22"/>
        </w:rPr>
        <w:t xml:space="preserve">Das </w:t>
      </w:r>
      <w:r w:rsidR="00046602" w:rsidRPr="000E5A31">
        <w:rPr>
          <w:rFonts w:cs="Arial"/>
          <w:szCs w:val="22"/>
        </w:rPr>
        <w:t>Ministerium für Energie, Bergbau, Wasser und Umwelt (MEMEE)</w:t>
      </w:r>
      <w:r w:rsidR="000C53AA" w:rsidRPr="000E5A31">
        <w:rPr>
          <w:rFonts w:cs="Arial"/>
          <w:szCs w:val="22"/>
        </w:rPr>
        <w:t xml:space="preserve"> wird </w:t>
      </w:r>
      <w:r w:rsidR="00046602" w:rsidRPr="000E5A31">
        <w:rPr>
          <w:rFonts w:cs="Arial"/>
          <w:szCs w:val="22"/>
        </w:rPr>
        <w:t xml:space="preserve">von Abdelkader Amara geführt. </w:t>
      </w:r>
      <w:r w:rsidR="00466C3B" w:rsidRPr="000E5A31">
        <w:rPr>
          <w:rFonts w:cs="Arial"/>
          <w:szCs w:val="22"/>
        </w:rPr>
        <w:t>Generalsekretär ist der ehemalige Abt. Leiter für erneuerbare Energien und Energieeffizienz, Abderrahime El Hafidi.</w:t>
      </w:r>
      <w:r w:rsidR="00604D85" w:rsidRPr="000E5A31">
        <w:rPr>
          <w:rFonts w:cs="Arial"/>
          <w:szCs w:val="22"/>
        </w:rPr>
        <w:t xml:space="preserve"> Seine Nachfolgerin ist Zohra </w:t>
      </w:r>
      <w:r w:rsidRPr="000E5A31">
        <w:rPr>
          <w:rFonts w:cs="Arial"/>
          <w:szCs w:val="22"/>
        </w:rPr>
        <w:t>Ettaik</w:t>
      </w:r>
      <w:r w:rsidR="00604D85" w:rsidRPr="000E5A31">
        <w:rPr>
          <w:rFonts w:cs="Arial"/>
          <w:szCs w:val="22"/>
        </w:rPr>
        <w:t>.</w:t>
      </w:r>
    </w:p>
    <w:p w:rsidR="00C7102D" w:rsidRPr="000E5A31" w:rsidRDefault="00C7102D" w:rsidP="00EB367A">
      <w:pPr>
        <w:autoSpaceDE w:val="0"/>
        <w:autoSpaceDN w:val="0"/>
        <w:adjustRightInd w:val="0"/>
        <w:spacing w:after="120"/>
        <w:jc w:val="both"/>
        <w:rPr>
          <w:rFonts w:cs="Arial"/>
          <w:szCs w:val="22"/>
        </w:rPr>
      </w:pPr>
    </w:p>
    <w:p w:rsidR="00A93FD9" w:rsidRPr="000E5A31" w:rsidRDefault="00C7102D" w:rsidP="00EB367A">
      <w:pPr>
        <w:autoSpaceDE w:val="0"/>
        <w:autoSpaceDN w:val="0"/>
        <w:adjustRightInd w:val="0"/>
        <w:spacing w:after="120"/>
        <w:jc w:val="both"/>
        <w:rPr>
          <w:rFonts w:cs="Arial"/>
          <w:szCs w:val="22"/>
        </w:rPr>
      </w:pPr>
      <w:r w:rsidRPr="000E5A31">
        <w:rPr>
          <w:rFonts w:cs="Arial"/>
          <w:b/>
          <w:szCs w:val="22"/>
        </w:rPr>
        <w:lastRenderedPageBreak/>
        <w:t>T</w:t>
      </w:r>
      <w:r w:rsidR="00AB7712" w:rsidRPr="000E5A31">
        <w:rPr>
          <w:rFonts w:cs="Arial"/>
          <w:b/>
          <w:szCs w:val="22"/>
        </w:rPr>
        <w:t>unesien</w:t>
      </w:r>
      <w:r w:rsidRPr="000E5A31">
        <w:rPr>
          <w:rFonts w:cs="Arial"/>
          <w:szCs w:val="22"/>
        </w:rPr>
        <w:t xml:space="preserve">: </w:t>
      </w:r>
      <w:r w:rsidR="000C53AA" w:rsidRPr="000E5A31">
        <w:rPr>
          <w:rFonts w:cs="Arial"/>
          <w:szCs w:val="22"/>
        </w:rPr>
        <w:t xml:space="preserve">Der neue </w:t>
      </w:r>
      <w:r w:rsidR="001A3C3D" w:rsidRPr="000E5A31">
        <w:t>Minister für Industrie, Energie und Bergbau ist Zakaria Hamad</w:t>
      </w:r>
      <w:r w:rsidR="000C53AA" w:rsidRPr="000E5A31">
        <w:t xml:space="preserve">, der </w:t>
      </w:r>
      <w:r w:rsidR="001A3C3D" w:rsidRPr="000E5A31">
        <w:rPr>
          <w:rFonts w:cs="Arial"/>
          <w:szCs w:val="22"/>
        </w:rPr>
        <w:t>neue Leiter der staatlichen Energie</w:t>
      </w:r>
      <w:r w:rsidR="000E5A31">
        <w:rPr>
          <w:rFonts w:cs="Arial"/>
          <w:szCs w:val="22"/>
        </w:rPr>
        <w:t>a</w:t>
      </w:r>
      <w:r w:rsidR="001A3C3D" w:rsidRPr="000E5A31">
        <w:rPr>
          <w:rFonts w:cs="Arial"/>
          <w:szCs w:val="22"/>
        </w:rPr>
        <w:t xml:space="preserve">gentur (ANME) </w:t>
      </w:r>
      <w:r w:rsidR="001729E4" w:rsidRPr="000E5A31">
        <w:rPr>
          <w:rFonts w:cs="Arial"/>
          <w:szCs w:val="22"/>
        </w:rPr>
        <w:t>Hamdi Harrouch</w:t>
      </w:r>
      <w:r w:rsidR="001A3C3D" w:rsidRPr="000E5A31">
        <w:rPr>
          <w:rFonts w:cs="Arial"/>
          <w:szCs w:val="22"/>
        </w:rPr>
        <w:t>.</w:t>
      </w:r>
    </w:p>
    <w:p w:rsidR="001A3C3D" w:rsidRPr="000E5A31" w:rsidRDefault="001A3C3D" w:rsidP="00EB367A">
      <w:pPr>
        <w:autoSpaceDE w:val="0"/>
        <w:autoSpaceDN w:val="0"/>
        <w:adjustRightInd w:val="0"/>
        <w:spacing w:after="120"/>
        <w:jc w:val="both"/>
        <w:rPr>
          <w:rFonts w:cs="Arial"/>
          <w:szCs w:val="22"/>
        </w:rPr>
      </w:pPr>
    </w:p>
    <w:p w:rsidR="00AB7712" w:rsidRPr="000E5A31" w:rsidRDefault="00AB7712" w:rsidP="00EB367A">
      <w:pPr>
        <w:autoSpaceDE w:val="0"/>
        <w:autoSpaceDN w:val="0"/>
        <w:adjustRightInd w:val="0"/>
        <w:spacing w:after="120"/>
        <w:jc w:val="both"/>
        <w:rPr>
          <w:rFonts w:cs="Arial"/>
          <w:szCs w:val="22"/>
        </w:rPr>
      </w:pPr>
      <w:r w:rsidRPr="000E5A31">
        <w:rPr>
          <w:rFonts w:cs="Arial"/>
          <w:b/>
          <w:szCs w:val="22"/>
        </w:rPr>
        <w:t>Ägypten</w:t>
      </w:r>
      <w:r w:rsidR="00C7102D" w:rsidRPr="000E5A31">
        <w:rPr>
          <w:rFonts w:cs="Arial"/>
          <w:szCs w:val="22"/>
        </w:rPr>
        <w:t xml:space="preserve">: </w:t>
      </w:r>
      <w:r w:rsidR="000C53AA" w:rsidRPr="000E5A31">
        <w:rPr>
          <w:rFonts w:cs="Arial"/>
          <w:szCs w:val="22"/>
        </w:rPr>
        <w:t xml:space="preserve">Der neue </w:t>
      </w:r>
      <w:r w:rsidR="000B036E" w:rsidRPr="000E5A31">
        <w:rPr>
          <w:rFonts w:cs="Arial"/>
          <w:szCs w:val="22"/>
        </w:rPr>
        <w:t>Minister für Elektrizität und Erneuerbare Energien ist Mohamed Shaker El-Markabi</w:t>
      </w:r>
      <w:r w:rsidR="000C53AA" w:rsidRPr="000E5A31">
        <w:rPr>
          <w:rFonts w:cs="Arial"/>
          <w:szCs w:val="22"/>
        </w:rPr>
        <w:t>, der neue Leiter der staatlichen Energie</w:t>
      </w:r>
      <w:r w:rsidR="000E5A31">
        <w:rPr>
          <w:rFonts w:cs="Arial"/>
          <w:szCs w:val="22"/>
        </w:rPr>
        <w:t>a</w:t>
      </w:r>
      <w:r w:rsidR="000C53AA" w:rsidRPr="000E5A31">
        <w:rPr>
          <w:rFonts w:cs="Arial"/>
          <w:szCs w:val="22"/>
        </w:rPr>
        <w:t xml:space="preserve">gentur (NREA) </w:t>
      </w:r>
      <w:r w:rsidRPr="000E5A31">
        <w:rPr>
          <w:rFonts w:cs="Arial"/>
          <w:szCs w:val="22"/>
        </w:rPr>
        <w:t>Mohamed El</w:t>
      </w:r>
      <w:r w:rsidR="000B036E" w:rsidRPr="000E5A31">
        <w:rPr>
          <w:rFonts w:cs="Arial"/>
          <w:szCs w:val="22"/>
        </w:rPr>
        <w:t>-</w:t>
      </w:r>
      <w:r w:rsidR="000C53AA" w:rsidRPr="000E5A31">
        <w:rPr>
          <w:rFonts w:cs="Arial"/>
          <w:szCs w:val="22"/>
        </w:rPr>
        <w:t xml:space="preserve">Sobki, ein </w:t>
      </w:r>
      <w:r w:rsidRPr="000E5A31">
        <w:rPr>
          <w:rFonts w:cs="Arial"/>
          <w:szCs w:val="22"/>
        </w:rPr>
        <w:t>kompetenter und anerkannter Fa</w:t>
      </w:r>
      <w:r w:rsidR="000C53AA" w:rsidRPr="000E5A31">
        <w:rPr>
          <w:rFonts w:cs="Arial"/>
          <w:szCs w:val="22"/>
        </w:rPr>
        <w:t>chmann für nachhaltige Energien</w:t>
      </w:r>
      <w:r w:rsidRPr="000E5A31">
        <w:rPr>
          <w:rFonts w:cs="Arial"/>
          <w:szCs w:val="22"/>
        </w:rPr>
        <w:t>.</w:t>
      </w:r>
    </w:p>
    <w:p w:rsidR="00AA05AF" w:rsidRPr="000E5A31" w:rsidRDefault="00AA05AF" w:rsidP="00EB367A">
      <w:pPr>
        <w:autoSpaceDE w:val="0"/>
        <w:autoSpaceDN w:val="0"/>
        <w:adjustRightInd w:val="0"/>
        <w:spacing w:after="120"/>
        <w:jc w:val="both"/>
        <w:rPr>
          <w:rFonts w:cs="Arial"/>
          <w:b/>
          <w:szCs w:val="22"/>
        </w:rPr>
      </w:pPr>
    </w:p>
    <w:p w:rsidR="0088567D" w:rsidRPr="000E5A31" w:rsidRDefault="00497322" w:rsidP="000C5AD2">
      <w:pPr>
        <w:pStyle w:val="berschrift2"/>
        <w:rPr>
          <w:b/>
          <w:i/>
        </w:rPr>
      </w:pPr>
      <w:bookmarkStart w:id="5" w:name="_Toc396989033"/>
      <w:r w:rsidRPr="000E5A31">
        <w:rPr>
          <w:b/>
          <w:i/>
        </w:rPr>
        <w:t>A.</w:t>
      </w:r>
      <w:r w:rsidR="0088567D" w:rsidRPr="000E5A31">
        <w:rPr>
          <w:b/>
          <w:i/>
        </w:rPr>
        <w:t>2.3</w:t>
      </w:r>
      <w:r w:rsidR="0088567D" w:rsidRPr="000E5A31">
        <w:rPr>
          <w:b/>
          <w:i/>
        </w:rPr>
        <w:tab/>
        <w:t>Entwicklungen im Engagement anderer Geber und in der Abstimmung der Geberbeiträge</w:t>
      </w:r>
      <w:bookmarkEnd w:id="5"/>
    </w:p>
    <w:p w:rsidR="00EB367A" w:rsidRPr="000E5A31" w:rsidRDefault="00EB367A" w:rsidP="00336697">
      <w:pPr>
        <w:spacing w:after="120"/>
        <w:jc w:val="both"/>
        <w:rPr>
          <w:rFonts w:cs="Arial"/>
          <w:noProof/>
          <w:szCs w:val="22"/>
        </w:rPr>
      </w:pPr>
    </w:p>
    <w:p w:rsidR="00A91277" w:rsidRPr="000E5A31" w:rsidRDefault="00A91277" w:rsidP="00336697">
      <w:pPr>
        <w:spacing w:after="120"/>
        <w:jc w:val="both"/>
        <w:rPr>
          <w:rFonts w:cs="Arial"/>
          <w:noProof/>
          <w:szCs w:val="22"/>
        </w:rPr>
      </w:pPr>
      <w:r w:rsidRPr="000E5A31">
        <w:rPr>
          <w:rFonts w:cs="Arial"/>
          <w:noProof/>
          <w:szCs w:val="22"/>
        </w:rPr>
        <w:t>In allen 3 RE-ACTIVATE Fokusländern sowie in der MENA</w:t>
      </w:r>
      <w:r w:rsidR="00F769A4" w:rsidRPr="000E5A31">
        <w:rPr>
          <w:rFonts w:cs="Arial"/>
          <w:noProof/>
          <w:szCs w:val="22"/>
        </w:rPr>
        <w:t>-</w:t>
      </w:r>
      <w:r w:rsidRPr="000E5A31">
        <w:rPr>
          <w:rFonts w:cs="Arial"/>
          <w:noProof/>
          <w:szCs w:val="22"/>
        </w:rPr>
        <w:t xml:space="preserve">Region </w:t>
      </w:r>
      <w:r w:rsidR="00F769A4" w:rsidRPr="000E5A31">
        <w:rPr>
          <w:rFonts w:cs="Arial"/>
          <w:noProof/>
          <w:szCs w:val="22"/>
        </w:rPr>
        <w:t>insgesamt</w:t>
      </w:r>
      <w:r w:rsidRPr="000E5A31">
        <w:rPr>
          <w:rFonts w:cs="Arial"/>
          <w:noProof/>
          <w:szCs w:val="22"/>
        </w:rPr>
        <w:t xml:space="preserve"> wird derzeit ein massiver Ausbau der Strom- und Wärmegewinung </w:t>
      </w:r>
      <w:r w:rsidR="00E2039C" w:rsidRPr="000E5A31">
        <w:rPr>
          <w:rFonts w:cs="Arial"/>
          <w:noProof/>
          <w:szCs w:val="22"/>
        </w:rPr>
        <w:t xml:space="preserve">aus erneuerbaren sowie aus konventionellen Quellen </w:t>
      </w:r>
      <w:r w:rsidRPr="000E5A31">
        <w:rPr>
          <w:rFonts w:cs="Arial"/>
          <w:noProof/>
          <w:szCs w:val="22"/>
        </w:rPr>
        <w:t>betrieben.</w:t>
      </w:r>
      <w:r w:rsidR="00336697" w:rsidRPr="000E5A31">
        <w:rPr>
          <w:rFonts w:cs="Arial"/>
          <w:noProof/>
          <w:szCs w:val="22"/>
        </w:rPr>
        <w:t xml:space="preserve"> </w:t>
      </w:r>
      <w:r w:rsidR="00E2039C" w:rsidRPr="000E5A31">
        <w:rPr>
          <w:rFonts w:cs="Arial"/>
          <w:noProof/>
          <w:szCs w:val="22"/>
        </w:rPr>
        <w:t xml:space="preserve">Hierbei sind nahezu alle großen Geber der internationalen Zusammenarbeit involviert. Neben UN- und EU-Institutionen spielen hier auch arabische, islamische und </w:t>
      </w:r>
      <w:r w:rsidRPr="000E5A31">
        <w:rPr>
          <w:rFonts w:cs="Arial"/>
          <w:noProof/>
          <w:szCs w:val="22"/>
        </w:rPr>
        <w:t xml:space="preserve">asiatische </w:t>
      </w:r>
      <w:r w:rsidR="00E2039C" w:rsidRPr="000E5A31">
        <w:rPr>
          <w:rFonts w:cs="Arial"/>
          <w:noProof/>
          <w:szCs w:val="22"/>
        </w:rPr>
        <w:t>Geber eine zentrale Rolle</w:t>
      </w:r>
      <w:r w:rsidRPr="000E5A31">
        <w:rPr>
          <w:rFonts w:cs="Arial"/>
          <w:noProof/>
          <w:szCs w:val="22"/>
        </w:rPr>
        <w:t>.</w:t>
      </w:r>
    </w:p>
    <w:p w:rsidR="0098652F" w:rsidRPr="000E5A31" w:rsidRDefault="0098652F" w:rsidP="00336697">
      <w:pPr>
        <w:spacing w:after="120"/>
        <w:jc w:val="both"/>
        <w:rPr>
          <w:rFonts w:cs="Arial"/>
          <w:noProof/>
          <w:szCs w:val="22"/>
        </w:rPr>
      </w:pPr>
    </w:p>
    <w:p w:rsidR="00415D96" w:rsidRPr="000E5A31" w:rsidRDefault="00B6253F" w:rsidP="0012743D">
      <w:pPr>
        <w:pStyle w:val="berschrift1"/>
      </w:pPr>
      <w:bookmarkStart w:id="6" w:name="_Toc396989034"/>
      <w:r w:rsidRPr="000E5A31">
        <w:t>A</w:t>
      </w:r>
      <w:r w:rsidR="00497322" w:rsidRPr="000E5A31">
        <w:t>.</w:t>
      </w:r>
      <w:r w:rsidR="00415D96" w:rsidRPr="000E5A31">
        <w:t>3.</w:t>
      </w:r>
      <w:r w:rsidR="00415D96" w:rsidRPr="000E5A31">
        <w:tab/>
        <w:t>Entwicklungen im Ansatz des deutschen EZ-Engagements</w:t>
      </w:r>
      <w:bookmarkEnd w:id="6"/>
    </w:p>
    <w:p w:rsidR="008F110D" w:rsidRPr="000E5A31" w:rsidRDefault="008F110D" w:rsidP="008F110D">
      <w:pPr>
        <w:autoSpaceDE w:val="0"/>
        <w:autoSpaceDN w:val="0"/>
        <w:adjustRightInd w:val="0"/>
        <w:spacing w:after="120"/>
        <w:jc w:val="both"/>
        <w:rPr>
          <w:rFonts w:eastAsiaTheme="minorHAnsi" w:cs="Arial"/>
          <w:b/>
          <w:szCs w:val="22"/>
          <w:lang w:eastAsia="en-US"/>
        </w:rPr>
      </w:pPr>
      <w:bookmarkStart w:id="7" w:name="_Toc396989035"/>
    </w:p>
    <w:p w:rsidR="007A257A" w:rsidRPr="000E5A31" w:rsidRDefault="008F110D" w:rsidP="00AF48D8">
      <w:pPr>
        <w:spacing w:after="120"/>
        <w:jc w:val="both"/>
        <w:rPr>
          <w:rFonts w:cs="Arial"/>
          <w:szCs w:val="22"/>
          <w:lang w:eastAsia="en-US"/>
        </w:rPr>
      </w:pPr>
      <w:r w:rsidRPr="000E5A31">
        <w:rPr>
          <w:rFonts w:cs="Arial"/>
          <w:szCs w:val="22"/>
          <w:lang w:eastAsia="en-US"/>
        </w:rPr>
        <w:t>Der Energ</w:t>
      </w:r>
      <w:r w:rsidR="003C294A" w:rsidRPr="000E5A31">
        <w:rPr>
          <w:rFonts w:cs="Arial"/>
          <w:szCs w:val="22"/>
          <w:lang w:eastAsia="en-US"/>
        </w:rPr>
        <w:t xml:space="preserve">iesektor – und insbesondere die Förderung </w:t>
      </w:r>
      <w:r w:rsidR="00FC0BB3">
        <w:rPr>
          <w:rFonts w:cs="Arial"/>
          <w:szCs w:val="22"/>
          <w:lang w:eastAsia="en-US"/>
        </w:rPr>
        <w:t>e</w:t>
      </w:r>
      <w:r w:rsidRPr="000E5A31">
        <w:rPr>
          <w:rFonts w:cs="Arial"/>
          <w:szCs w:val="22"/>
          <w:lang w:eastAsia="en-US"/>
        </w:rPr>
        <w:t xml:space="preserve">rneuerbarer Energien </w:t>
      </w:r>
      <w:r w:rsidR="003C294A" w:rsidRPr="000E5A31">
        <w:rPr>
          <w:rFonts w:cs="Arial"/>
          <w:szCs w:val="22"/>
          <w:lang w:eastAsia="en-US"/>
        </w:rPr>
        <w:t>und</w:t>
      </w:r>
      <w:r w:rsidRPr="000E5A31">
        <w:rPr>
          <w:rFonts w:cs="Arial"/>
          <w:szCs w:val="22"/>
          <w:lang w:eastAsia="en-US"/>
        </w:rPr>
        <w:t xml:space="preserve"> Energiee</w:t>
      </w:r>
      <w:r w:rsidRPr="000E5A31">
        <w:rPr>
          <w:rFonts w:cs="Arial"/>
          <w:szCs w:val="22"/>
          <w:lang w:eastAsia="en-US"/>
        </w:rPr>
        <w:t>f</w:t>
      </w:r>
      <w:r w:rsidRPr="000E5A31">
        <w:rPr>
          <w:rFonts w:cs="Arial"/>
          <w:szCs w:val="22"/>
          <w:lang w:eastAsia="en-US"/>
        </w:rPr>
        <w:t>fizienz</w:t>
      </w:r>
      <w:r w:rsidR="003C294A" w:rsidRPr="000E5A31">
        <w:rPr>
          <w:rFonts w:cs="Arial"/>
          <w:szCs w:val="22"/>
          <w:lang w:eastAsia="en-US"/>
        </w:rPr>
        <w:t>technologien</w:t>
      </w:r>
      <w:r w:rsidRPr="000E5A31">
        <w:rPr>
          <w:rFonts w:cs="Arial"/>
          <w:szCs w:val="22"/>
          <w:lang w:eastAsia="en-US"/>
        </w:rPr>
        <w:t xml:space="preserve"> </w:t>
      </w:r>
      <w:r w:rsidR="002001FA" w:rsidRPr="000E5A31">
        <w:rPr>
          <w:rFonts w:cs="Arial"/>
          <w:szCs w:val="22"/>
          <w:lang w:eastAsia="en-US"/>
        </w:rPr>
        <w:t xml:space="preserve">– </w:t>
      </w:r>
      <w:r w:rsidRPr="000E5A31">
        <w:rPr>
          <w:rFonts w:cs="Arial"/>
          <w:szCs w:val="22"/>
          <w:lang w:eastAsia="en-US"/>
        </w:rPr>
        <w:t xml:space="preserve"> gehört zu den Schwerpunkten der deutschen Entwicklungszusa</w:t>
      </w:r>
      <w:r w:rsidRPr="000E5A31">
        <w:rPr>
          <w:rFonts w:cs="Arial"/>
          <w:szCs w:val="22"/>
          <w:lang w:eastAsia="en-US"/>
        </w:rPr>
        <w:t>m</w:t>
      </w:r>
      <w:r w:rsidRPr="000E5A31">
        <w:rPr>
          <w:rFonts w:cs="Arial"/>
          <w:szCs w:val="22"/>
          <w:lang w:eastAsia="en-US"/>
        </w:rPr>
        <w:t xml:space="preserve">menarbeit und hat in den vergangenen Jahren </w:t>
      </w:r>
      <w:r w:rsidR="007A257A" w:rsidRPr="000E5A31">
        <w:rPr>
          <w:rFonts w:cs="Arial"/>
          <w:szCs w:val="22"/>
          <w:lang w:eastAsia="en-US"/>
        </w:rPr>
        <w:t>weiter</w:t>
      </w:r>
      <w:r w:rsidRPr="000E5A31">
        <w:rPr>
          <w:rFonts w:cs="Arial"/>
          <w:szCs w:val="22"/>
          <w:lang w:eastAsia="en-US"/>
        </w:rPr>
        <w:t xml:space="preserve"> </w:t>
      </w:r>
      <w:r w:rsidR="002001FA" w:rsidRPr="000E5A31">
        <w:rPr>
          <w:rFonts w:cs="Arial"/>
          <w:szCs w:val="22"/>
          <w:lang w:eastAsia="en-US"/>
        </w:rPr>
        <w:t xml:space="preserve">an </w:t>
      </w:r>
      <w:r w:rsidRPr="000E5A31">
        <w:rPr>
          <w:rFonts w:cs="Arial"/>
          <w:szCs w:val="22"/>
          <w:lang w:eastAsia="en-US"/>
        </w:rPr>
        <w:t xml:space="preserve">Bedeutung gewonnen. Dies trifft explizit </w:t>
      </w:r>
      <w:r w:rsidRPr="000E5A31">
        <w:rPr>
          <w:rFonts w:cs="Arial"/>
          <w:bCs/>
          <w:szCs w:val="22"/>
          <w:lang w:eastAsia="en-US"/>
        </w:rPr>
        <w:t>auch auf die Länder der MENA</w:t>
      </w:r>
      <w:r w:rsidR="007A257A" w:rsidRPr="000E5A31">
        <w:rPr>
          <w:rFonts w:cs="Arial"/>
          <w:bCs/>
          <w:szCs w:val="22"/>
          <w:lang w:eastAsia="en-US"/>
        </w:rPr>
        <w:t xml:space="preserve"> </w:t>
      </w:r>
      <w:r w:rsidRPr="000E5A31">
        <w:rPr>
          <w:rFonts w:cs="Arial"/>
          <w:bCs/>
          <w:szCs w:val="22"/>
          <w:lang w:eastAsia="en-US"/>
        </w:rPr>
        <w:t>Region zu. Das BMZ ist mit einem laufenden Portfolio von über einer Milliarde Euro einer der größten Förderer und Impulsgeber der Region</w:t>
      </w:r>
      <w:r w:rsidR="007A257A" w:rsidRPr="000E5A31">
        <w:rPr>
          <w:rFonts w:cs="Arial"/>
          <w:bCs/>
          <w:szCs w:val="22"/>
          <w:lang w:eastAsia="en-US"/>
        </w:rPr>
        <w:t xml:space="preserve"> i</w:t>
      </w:r>
      <w:r w:rsidR="003C294A" w:rsidRPr="000E5A31">
        <w:rPr>
          <w:rFonts w:cs="Arial"/>
          <w:bCs/>
          <w:szCs w:val="22"/>
          <w:lang w:eastAsia="en-US"/>
        </w:rPr>
        <w:t>n di</w:t>
      </w:r>
      <w:r w:rsidR="003C294A" w:rsidRPr="000E5A31">
        <w:rPr>
          <w:rFonts w:cs="Arial"/>
          <w:bCs/>
          <w:szCs w:val="22"/>
          <w:lang w:eastAsia="en-US"/>
        </w:rPr>
        <w:t>e</w:t>
      </w:r>
      <w:r w:rsidR="003C294A" w:rsidRPr="000E5A31">
        <w:rPr>
          <w:rFonts w:cs="Arial"/>
          <w:bCs/>
          <w:szCs w:val="22"/>
          <w:lang w:eastAsia="en-US"/>
        </w:rPr>
        <w:t>se</w:t>
      </w:r>
      <w:r w:rsidR="007A257A" w:rsidRPr="000E5A31">
        <w:rPr>
          <w:rFonts w:cs="Arial"/>
          <w:bCs/>
          <w:szCs w:val="22"/>
          <w:lang w:eastAsia="en-US"/>
        </w:rPr>
        <w:t>m Bereich</w:t>
      </w:r>
      <w:r w:rsidR="003C294A" w:rsidRPr="000E5A31">
        <w:rPr>
          <w:rFonts w:cs="Arial"/>
          <w:bCs/>
          <w:szCs w:val="22"/>
          <w:lang w:eastAsia="en-US"/>
        </w:rPr>
        <w:t>.</w:t>
      </w:r>
      <w:r w:rsidRPr="000E5A31">
        <w:rPr>
          <w:rFonts w:cs="Arial"/>
          <w:bCs/>
          <w:szCs w:val="22"/>
          <w:lang w:eastAsia="en-US"/>
        </w:rPr>
        <w:t xml:space="preserve"> </w:t>
      </w:r>
      <w:r w:rsidR="007A257A" w:rsidRPr="000E5A31">
        <w:rPr>
          <w:rFonts w:cs="Arial"/>
          <w:bCs/>
          <w:szCs w:val="22"/>
          <w:lang w:eastAsia="en-US"/>
        </w:rPr>
        <w:t>Mit Hilfe der Internationalen Klimaschutz-Initiative (IKI) finanziert auch das BMU(B) eine große Anzahl von Projekten in der Region. Von AA und BMBF finanzierte Maßnahmen kompl</w:t>
      </w:r>
      <w:r w:rsidR="00FB015E" w:rsidRPr="000E5A31">
        <w:rPr>
          <w:rFonts w:cs="Arial"/>
          <w:bCs/>
          <w:szCs w:val="22"/>
          <w:lang w:eastAsia="en-US"/>
        </w:rPr>
        <w:t>e</w:t>
      </w:r>
      <w:r w:rsidR="007A257A" w:rsidRPr="000E5A31">
        <w:rPr>
          <w:rFonts w:cs="Arial"/>
          <w:bCs/>
          <w:szCs w:val="22"/>
          <w:lang w:eastAsia="en-US"/>
        </w:rPr>
        <w:t xml:space="preserve">ttieren das </w:t>
      </w:r>
      <w:r w:rsidRPr="000E5A31">
        <w:rPr>
          <w:rFonts w:cs="Arial"/>
          <w:szCs w:val="22"/>
          <w:lang w:eastAsia="en-US"/>
        </w:rPr>
        <w:t>Spektrum</w:t>
      </w:r>
      <w:r w:rsidR="00FB015E" w:rsidRPr="000E5A31">
        <w:rPr>
          <w:rFonts w:cs="Arial"/>
          <w:szCs w:val="22"/>
          <w:lang w:eastAsia="en-US"/>
        </w:rPr>
        <w:t xml:space="preserve"> der Maßnahmen</w:t>
      </w:r>
      <w:r w:rsidR="007A257A" w:rsidRPr="000E5A31">
        <w:rPr>
          <w:rFonts w:cs="Arial"/>
          <w:szCs w:val="22"/>
          <w:lang w:eastAsia="en-US"/>
        </w:rPr>
        <w:t>.</w:t>
      </w:r>
    </w:p>
    <w:p w:rsidR="007A257A" w:rsidRPr="000E5A31" w:rsidRDefault="00FB015E" w:rsidP="00AF48D8">
      <w:pPr>
        <w:spacing w:after="120"/>
        <w:jc w:val="both"/>
        <w:rPr>
          <w:rFonts w:cs="Arial"/>
          <w:szCs w:val="22"/>
          <w:lang w:eastAsia="en-US"/>
        </w:rPr>
      </w:pPr>
      <w:r w:rsidRPr="000E5A31">
        <w:rPr>
          <w:rFonts w:cs="Arial"/>
          <w:szCs w:val="22"/>
          <w:lang w:eastAsia="en-US"/>
        </w:rPr>
        <w:t xml:space="preserve">Auch die Förderung Nachhaltiger Wirtschaftsentwicklung (NaWi) ist ein Schwerpunktbereich der deutschen Entwicklungszusammenarbeit </w:t>
      </w:r>
      <w:r w:rsidR="003C294A" w:rsidRPr="000E5A31">
        <w:rPr>
          <w:rFonts w:cs="Arial"/>
          <w:szCs w:val="22"/>
          <w:lang w:eastAsia="en-US"/>
        </w:rPr>
        <w:t>mit</w:t>
      </w:r>
      <w:r w:rsidRPr="000E5A31">
        <w:rPr>
          <w:rFonts w:cs="Arial"/>
          <w:szCs w:val="22"/>
          <w:lang w:eastAsia="en-US"/>
        </w:rPr>
        <w:t xml:space="preserve"> der MENA Region. </w:t>
      </w:r>
      <w:r w:rsidR="003C294A" w:rsidRPr="000E5A31">
        <w:rPr>
          <w:rFonts w:cs="Arial"/>
          <w:szCs w:val="22"/>
          <w:lang w:eastAsia="en-US"/>
        </w:rPr>
        <w:t xml:space="preserve">Mit Blick </w:t>
      </w:r>
      <w:r w:rsidRPr="000E5A31">
        <w:rPr>
          <w:rFonts w:cs="Arial"/>
          <w:szCs w:val="22"/>
          <w:lang w:eastAsia="en-US"/>
        </w:rPr>
        <w:t>auf die Umbr</w:t>
      </w:r>
      <w:r w:rsidRPr="000E5A31">
        <w:rPr>
          <w:rFonts w:cs="Arial"/>
          <w:szCs w:val="22"/>
          <w:lang w:eastAsia="en-US"/>
        </w:rPr>
        <w:t>ü</w:t>
      </w:r>
      <w:r w:rsidRPr="000E5A31">
        <w:rPr>
          <w:rFonts w:cs="Arial"/>
          <w:szCs w:val="22"/>
          <w:lang w:eastAsia="en-US"/>
        </w:rPr>
        <w:t xml:space="preserve">che </w:t>
      </w:r>
      <w:r w:rsidR="00701A32" w:rsidRPr="000E5A31">
        <w:rPr>
          <w:rFonts w:cs="Arial"/>
          <w:szCs w:val="22"/>
          <w:lang w:eastAsia="en-US"/>
        </w:rPr>
        <w:t xml:space="preserve">in vielen Ländern der </w:t>
      </w:r>
      <w:r w:rsidR="00714B11" w:rsidRPr="000E5A31">
        <w:rPr>
          <w:rFonts w:cs="Arial"/>
          <w:szCs w:val="22"/>
          <w:lang w:eastAsia="en-US"/>
        </w:rPr>
        <w:t>arabischen</w:t>
      </w:r>
      <w:r w:rsidR="00701A32" w:rsidRPr="000E5A31">
        <w:rPr>
          <w:rFonts w:cs="Arial"/>
          <w:szCs w:val="22"/>
          <w:lang w:eastAsia="en-US"/>
        </w:rPr>
        <w:t xml:space="preserve"> Welt –</w:t>
      </w:r>
      <w:r w:rsidRPr="000E5A31">
        <w:rPr>
          <w:rFonts w:cs="Arial"/>
          <w:szCs w:val="22"/>
          <w:lang w:eastAsia="en-US"/>
        </w:rPr>
        <w:t xml:space="preserve"> </w:t>
      </w:r>
      <w:r w:rsidR="00701A32" w:rsidRPr="000E5A31">
        <w:rPr>
          <w:rFonts w:cs="Arial"/>
          <w:szCs w:val="22"/>
          <w:lang w:eastAsia="en-US"/>
        </w:rPr>
        <w:t>un</w:t>
      </w:r>
      <w:r w:rsidR="00991426" w:rsidRPr="000E5A31">
        <w:rPr>
          <w:rFonts w:cs="Arial"/>
          <w:szCs w:val="22"/>
          <w:lang w:eastAsia="en-US"/>
        </w:rPr>
        <w:t>d</w:t>
      </w:r>
      <w:r w:rsidR="00701A32" w:rsidRPr="000E5A31">
        <w:rPr>
          <w:rFonts w:cs="Arial"/>
          <w:szCs w:val="22"/>
          <w:lang w:eastAsia="en-US"/>
        </w:rPr>
        <w:t xml:space="preserve"> auf </w:t>
      </w:r>
      <w:r w:rsidRPr="000E5A31">
        <w:rPr>
          <w:rFonts w:cs="Arial"/>
          <w:szCs w:val="22"/>
          <w:lang w:eastAsia="en-US"/>
        </w:rPr>
        <w:t xml:space="preserve">die Chancen und Risiken, die </w:t>
      </w:r>
      <w:r w:rsidR="00701A32" w:rsidRPr="000E5A31">
        <w:rPr>
          <w:rFonts w:cs="Arial"/>
          <w:szCs w:val="22"/>
          <w:lang w:eastAsia="en-US"/>
        </w:rPr>
        <w:t>sich hi</w:t>
      </w:r>
      <w:r w:rsidR="00701A32" w:rsidRPr="000E5A31">
        <w:rPr>
          <w:rFonts w:cs="Arial"/>
          <w:szCs w:val="22"/>
          <w:lang w:eastAsia="en-US"/>
        </w:rPr>
        <w:t>e</w:t>
      </w:r>
      <w:r w:rsidR="00701A32" w:rsidRPr="000E5A31">
        <w:rPr>
          <w:rFonts w:cs="Arial"/>
          <w:szCs w:val="22"/>
          <w:lang w:eastAsia="en-US"/>
        </w:rPr>
        <w:t xml:space="preserve">raus ergeben – wurde dieser Bereich weiter ausgebaut, mit einem starken Fokus auf </w:t>
      </w:r>
      <w:r w:rsidR="003C294A" w:rsidRPr="000E5A31">
        <w:rPr>
          <w:rFonts w:cs="Arial"/>
          <w:szCs w:val="22"/>
          <w:lang w:eastAsia="en-US"/>
        </w:rPr>
        <w:t>B</w:t>
      </w:r>
      <w:r w:rsidR="00701A32" w:rsidRPr="000E5A31">
        <w:rPr>
          <w:rFonts w:cs="Arial"/>
          <w:szCs w:val="22"/>
          <w:lang w:eastAsia="en-US"/>
        </w:rPr>
        <w:t>e</w:t>
      </w:r>
      <w:r w:rsidR="00701A32" w:rsidRPr="000E5A31">
        <w:rPr>
          <w:rFonts w:cs="Arial"/>
          <w:szCs w:val="22"/>
          <w:lang w:eastAsia="en-US"/>
        </w:rPr>
        <w:t>schäftigungsförder</w:t>
      </w:r>
      <w:r w:rsidR="003C294A" w:rsidRPr="000E5A31">
        <w:rPr>
          <w:rFonts w:cs="Arial"/>
          <w:szCs w:val="22"/>
          <w:lang w:eastAsia="en-US"/>
        </w:rPr>
        <w:t>ung</w:t>
      </w:r>
      <w:r w:rsidR="00701A32" w:rsidRPr="000E5A31">
        <w:rPr>
          <w:rFonts w:cs="Arial"/>
          <w:szCs w:val="22"/>
          <w:lang w:eastAsia="en-US"/>
        </w:rPr>
        <w:t>. In diesem Zusammenhang ist insbesondere die Sonderinitiative zu</w:t>
      </w:r>
      <w:r w:rsidR="007948B7" w:rsidRPr="000E5A31">
        <w:rPr>
          <w:rFonts w:cs="Arial"/>
          <w:szCs w:val="22"/>
          <w:lang w:eastAsia="en-US"/>
        </w:rPr>
        <w:t>r</w:t>
      </w:r>
      <w:r w:rsidR="00701A32" w:rsidRPr="000E5A31">
        <w:rPr>
          <w:rFonts w:cs="Arial"/>
          <w:szCs w:val="22"/>
          <w:lang w:eastAsia="en-US"/>
        </w:rPr>
        <w:t xml:space="preserve"> </w:t>
      </w:r>
      <w:r w:rsidR="00714B11" w:rsidRPr="000E5A31">
        <w:rPr>
          <w:rFonts w:cs="Arial"/>
          <w:szCs w:val="22"/>
          <w:lang w:eastAsia="en-US"/>
        </w:rPr>
        <w:t>Stabilisierung</w:t>
      </w:r>
      <w:r w:rsidR="00701A32" w:rsidRPr="000E5A31">
        <w:rPr>
          <w:rFonts w:cs="Arial"/>
          <w:szCs w:val="22"/>
          <w:lang w:eastAsia="en-US"/>
        </w:rPr>
        <w:t xml:space="preserve"> der MENA</w:t>
      </w:r>
      <w:r w:rsidR="007948B7" w:rsidRPr="000E5A31">
        <w:rPr>
          <w:rFonts w:cs="Arial"/>
          <w:szCs w:val="22"/>
          <w:lang w:eastAsia="en-US"/>
        </w:rPr>
        <w:t>-</w:t>
      </w:r>
      <w:r w:rsidR="00701A32" w:rsidRPr="000E5A31">
        <w:rPr>
          <w:rFonts w:cs="Arial"/>
          <w:szCs w:val="22"/>
          <w:lang w:eastAsia="en-US"/>
        </w:rPr>
        <w:t xml:space="preserve">Region </w:t>
      </w:r>
      <w:r w:rsidR="003C294A" w:rsidRPr="000E5A31">
        <w:rPr>
          <w:rFonts w:cs="Arial"/>
          <w:szCs w:val="22"/>
          <w:lang w:eastAsia="en-US"/>
        </w:rPr>
        <w:t xml:space="preserve">(SI MENA) </w:t>
      </w:r>
      <w:r w:rsidR="00701A32" w:rsidRPr="000E5A31">
        <w:rPr>
          <w:rFonts w:cs="Arial"/>
          <w:szCs w:val="22"/>
          <w:lang w:eastAsia="en-US"/>
        </w:rPr>
        <w:t>zu nennen.</w:t>
      </w:r>
    </w:p>
    <w:p w:rsidR="007A257A" w:rsidRPr="000E5A31" w:rsidRDefault="00701A32" w:rsidP="00AF48D8">
      <w:pPr>
        <w:spacing w:after="120"/>
        <w:jc w:val="both"/>
        <w:rPr>
          <w:rFonts w:cs="Arial"/>
          <w:szCs w:val="22"/>
          <w:lang w:eastAsia="en-US"/>
        </w:rPr>
      </w:pPr>
      <w:r w:rsidRPr="000E5A31">
        <w:rPr>
          <w:rFonts w:cs="Arial"/>
          <w:szCs w:val="22"/>
          <w:lang w:eastAsia="en-US"/>
        </w:rPr>
        <w:t>Infolge dieser Entwicklung</w:t>
      </w:r>
      <w:r w:rsidR="000C26D7" w:rsidRPr="000E5A31">
        <w:rPr>
          <w:rFonts w:cs="Arial"/>
          <w:szCs w:val="22"/>
          <w:lang w:eastAsia="en-US"/>
        </w:rPr>
        <w:t>en</w:t>
      </w:r>
      <w:r w:rsidRPr="000E5A31">
        <w:rPr>
          <w:rFonts w:cs="Arial"/>
          <w:szCs w:val="22"/>
          <w:lang w:eastAsia="en-US"/>
        </w:rPr>
        <w:t xml:space="preserve"> hat sich das deutsche </w:t>
      </w:r>
      <w:r w:rsidR="000C26D7" w:rsidRPr="000E5A31">
        <w:rPr>
          <w:rFonts w:cs="Arial"/>
          <w:szCs w:val="22"/>
          <w:lang w:eastAsia="en-US"/>
        </w:rPr>
        <w:t xml:space="preserve">EZ </w:t>
      </w:r>
      <w:r w:rsidRPr="000E5A31">
        <w:rPr>
          <w:rFonts w:cs="Arial"/>
          <w:szCs w:val="22"/>
          <w:lang w:eastAsia="en-US"/>
        </w:rPr>
        <w:t>Portfolio in der MENA Region inklus</w:t>
      </w:r>
      <w:r w:rsidRPr="000E5A31">
        <w:rPr>
          <w:rFonts w:cs="Arial"/>
          <w:szCs w:val="22"/>
          <w:lang w:eastAsia="en-US"/>
        </w:rPr>
        <w:t>i</w:t>
      </w:r>
      <w:r w:rsidR="000C26D7" w:rsidRPr="000E5A31">
        <w:rPr>
          <w:rFonts w:cs="Arial"/>
          <w:szCs w:val="22"/>
          <w:lang w:eastAsia="en-US"/>
        </w:rPr>
        <w:t xml:space="preserve">ve in den </w:t>
      </w:r>
      <w:r w:rsidRPr="000E5A31">
        <w:rPr>
          <w:rFonts w:cs="Arial"/>
          <w:szCs w:val="22"/>
          <w:lang w:eastAsia="en-US"/>
        </w:rPr>
        <w:t>Fokusländern von RE-</w:t>
      </w:r>
      <w:r w:rsidR="007948B7" w:rsidRPr="000E5A31">
        <w:rPr>
          <w:rFonts w:cs="Arial"/>
          <w:szCs w:val="22"/>
          <w:lang w:eastAsia="en-US"/>
        </w:rPr>
        <w:t xml:space="preserve">ACTIVATE </w:t>
      </w:r>
      <w:r w:rsidRPr="000E5A31">
        <w:rPr>
          <w:rFonts w:cs="Arial"/>
          <w:szCs w:val="22"/>
          <w:lang w:eastAsia="en-US"/>
        </w:rPr>
        <w:t xml:space="preserve">erheblich verändert. Hieraus ergeben sich neue Gelegenheiten zur Schaffung von </w:t>
      </w:r>
      <w:r w:rsidR="000C26D7" w:rsidRPr="000E5A31">
        <w:rPr>
          <w:rFonts w:cs="Arial"/>
          <w:szCs w:val="22"/>
          <w:lang w:eastAsia="en-US"/>
        </w:rPr>
        <w:t xml:space="preserve">Hebel- und </w:t>
      </w:r>
      <w:r w:rsidRPr="000E5A31">
        <w:rPr>
          <w:rFonts w:cs="Arial"/>
          <w:szCs w:val="22"/>
          <w:lang w:eastAsia="en-US"/>
        </w:rPr>
        <w:t>Synergie</w:t>
      </w:r>
      <w:r w:rsidR="000C26D7" w:rsidRPr="000E5A31">
        <w:rPr>
          <w:rFonts w:cs="Arial"/>
          <w:szCs w:val="22"/>
          <w:lang w:eastAsia="en-US"/>
        </w:rPr>
        <w:t>effekten</w:t>
      </w:r>
      <w:r w:rsidRPr="000E5A31">
        <w:rPr>
          <w:rFonts w:cs="Arial"/>
          <w:szCs w:val="22"/>
          <w:lang w:eastAsia="en-US"/>
        </w:rPr>
        <w:t>, aber auch neue Anforderu</w:t>
      </w:r>
      <w:r w:rsidRPr="000E5A31">
        <w:rPr>
          <w:rFonts w:cs="Arial"/>
          <w:szCs w:val="22"/>
          <w:lang w:eastAsia="en-US"/>
        </w:rPr>
        <w:t>n</w:t>
      </w:r>
      <w:r w:rsidRPr="000E5A31">
        <w:rPr>
          <w:rFonts w:cs="Arial"/>
          <w:szCs w:val="22"/>
          <w:lang w:eastAsia="en-US"/>
        </w:rPr>
        <w:t xml:space="preserve">gen für </w:t>
      </w:r>
      <w:r w:rsidR="003C294A" w:rsidRPr="000E5A31">
        <w:rPr>
          <w:rFonts w:cs="Arial"/>
          <w:szCs w:val="22"/>
          <w:lang w:eastAsia="en-US"/>
        </w:rPr>
        <w:t xml:space="preserve">die </w:t>
      </w:r>
      <w:r w:rsidRPr="000E5A31">
        <w:rPr>
          <w:rFonts w:cs="Arial"/>
          <w:szCs w:val="22"/>
          <w:lang w:eastAsia="en-US"/>
        </w:rPr>
        <w:t>projekt-</w:t>
      </w:r>
      <w:r w:rsidR="003C294A" w:rsidRPr="000E5A31">
        <w:rPr>
          <w:rFonts w:cs="Arial"/>
          <w:szCs w:val="22"/>
          <w:lang w:eastAsia="en-US"/>
        </w:rPr>
        <w:t>,</w:t>
      </w:r>
      <w:r w:rsidRPr="000E5A31">
        <w:rPr>
          <w:rFonts w:cs="Arial"/>
          <w:szCs w:val="22"/>
          <w:lang w:eastAsia="en-US"/>
        </w:rPr>
        <w:t xml:space="preserve"> institutionen</w:t>
      </w:r>
      <w:r w:rsidR="003C294A" w:rsidRPr="000E5A31">
        <w:rPr>
          <w:rFonts w:cs="Arial"/>
          <w:szCs w:val="22"/>
          <w:lang w:eastAsia="en-US"/>
        </w:rPr>
        <w:t>- und sektor</w:t>
      </w:r>
      <w:r w:rsidRPr="000E5A31">
        <w:rPr>
          <w:rFonts w:cs="Arial"/>
          <w:szCs w:val="22"/>
          <w:lang w:eastAsia="en-US"/>
        </w:rPr>
        <w:t>übergreifende Kommunikation und Koordination.</w:t>
      </w:r>
    </w:p>
    <w:p w:rsidR="007A257A" w:rsidRPr="000E5A31" w:rsidRDefault="00701A32" w:rsidP="00AF48D8">
      <w:pPr>
        <w:spacing w:after="120"/>
        <w:jc w:val="both"/>
        <w:rPr>
          <w:rFonts w:cs="Arial"/>
          <w:szCs w:val="22"/>
          <w:lang w:eastAsia="en-US"/>
        </w:rPr>
      </w:pPr>
      <w:r w:rsidRPr="000E5A31">
        <w:rPr>
          <w:rFonts w:cs="Arial"/>
          <w:szCs w:val="22"/>
          <w:lang w:eastAsia="en-US"/>
        </w:rPr>
        <w:t>Im Folgenden seien nur die wichtigsten Bespiele genannt</w:t>
      </w:r>
      <w:r w:rsidR="000C26D7" w:rsidRPr="000E5A31">
        <w:rPr>
          <w:rFonts w:cs="Arial"/>
          <w:szCs w:val="22"/>
          <w:lang w:eastAsia="en-US"/>
        </w:rPr>
        <w:t>.</w:t>
      </w:r>
    </w:p>
    <w:p w:rsidR="007A257A" w:rsidRPr="000E5A31" w:rsidRDefault="007A257A" w:rsidP="00AF48D8">
      <w:pPr>
        <w:spacing w:after="120"/>
        <w:jc w:val="both"/>
        <w:rPr>
          <w:rFonts w:cs="Arial"/>
          <w:szCs w:val="22"/>
          <w:lang w:eastAsia="en-US"/>
        </w:rPr>
      </w:pPr>
    </w:p>
    <w:p w:rsidR="00A91277" w:rsidRPr="000E5A31" w:rsidRDefault="00136446" w:rsidP="00B2689A">
      <w:pPr>
        <w:pStyle w:val="Listenabsatz"/>
        <w:numPr>
          <w:ilvl w:val="0"/>
          <w:numId w:val="13"/>
        </w:numPr>
        <w:spacing w:after="120"/>
        <w:jc w:val="both"/>
        <w:rPr>
          <w:rFonts w:cs="Arial"/>
          <w:b/>
          <w:szCs w:val="22"/>
          <w:lang w:eastAsia="en-US"/>
        </w:rPr>
      </w:pPr>
      <w:r w:rsidRPr="000E5A31">
        <w:rPr>
          <w:rFonts w:cs="Arial"/>
          <w:b/>
          <w:szCs w:val="22"/>
          <w:lang w:eastAsia="en-US"/>
        </w:rPr>
        <w:t>M</w:t>
      </w:r>
      <w:r w:rsidR="00E044FB" w:rsidRPr="000E5A31">
        <w:rPr>
          <w:rFonts w:cs="Arial"/>
          <w:b/>
          <w:szCs w:val="22"/>
          <w:lang w:eastAsia="en-US"/>
        </w:rPr>
        <w:t>arokko</w:t>
      </w:r>
      <w:r w:rsidRPr="000E5A31">
        <w:rPr>
          <w:rFonts w:cs="Arial"/>
          <w:b/>
          <w:szCs w:val="22"/>
          <w:lang w:eastAsia="en-US"/>
        </w:rPr>
        <w:t>:</w:t>
      </w:r>
    </w:p>
    <w:p w:rsidR="00235E0D" w:rsidRPr="000E5A31" w:rsidRDefault="00136446" w:rsidP="00B2689A">
      <w:pPr>
        <w:pStyle w:val="Listenabsatz"/>
        <w:numPr>
          <w:ilvl w:val="0"/>
          <w:numId w:val="15"/>
        </w:numPr>
        <w:spacing w:after="120"/>
        <w:jc w:val="both"/>
        <w:rPr>
          <w:rFonts w:cs="Arial"/>
          <w:szCs w:val="22"/>
        </w:rPr>
      </w:pPr>
      <w:r w:rsidRPr="000E5A31">
        <w:rPr>
          <w:rFonts w:cs="Arial"/>
          <w:bCs/>
          <w:szCs w:val="22"/>
        </w:rPr>
        <w:t xml:space="preserve">Unterstützung der marokkanischen Energiepolitik </w:t>
      </w:r>
      <w:r w:rsidR="00813243" w:rsidRPr="000E5A31">
        <w:rPr>
          <w:rFonts w:cs="Arial"/>
          <w:bCs/>
          <w:szCs w:val="22"/>
        </w:rPr>
        <w:t>(PAPEM) (</w:t>
      </w:r>
      <w:r w:rsidR="007948B7" w:rsidRPr="000E5A31">
        <w:rPr>
          <w:rFonts w:cs="Arial"/>
          <w:bCs/>
          <w:szCs w:val="22"/>
        </w:rPr>
        <w:t xml:space="preserve">Laufzeit </w:t>
      </w:r>
      <w:r w:rsidR="00813243" w:rsidRPr="000E5A31">
        <w:rPr>
          <w:rFonts w:cs="Arial"/>
          <w:bCs/>
          <w:szCs w:val="22"/>
        </w:rPr>
        <w:t>2015-</w:t>
      </w:r>
      <w:r w:rsidRPr="000E5A31">
        <w:rPr>
          <w:rFonts w:cs="Arial"/>
          <w:bCs/>
          <w:szCs w:val="22"/>
        </w:rPr>
        <w:t>17)</w:t>
      </w:r>
      <w:r w:rsidR="00235E0D" w:rsidRPr="000E5A31">
        <w:rPr>
          <w:rFonts w:cs="Arial"/>
          <w:bCs/>
          <w:szCs w:val="22"/>
        </w:rPr>
        <w:t>:</w:t>
      </w:r>
      <w:r w:rsidR="002923E8" w:rsidRPr="000E5A31">
        <w:rPr>
          <w:rFonts w:cs="Arial"/>
          <w:bCs/>
          <w:szCs w:val="22"/>
        </w:rPr>
        <w:t xml:space="preserve"> Ziel: </w:t>
      </w:r>
      <w:r w:rsidR="00235E0D" w:rsidRPr="000E5A31">
        <w:rPr>
          <w:rFonts w:cs="Arial"/>
          <w:szCs w:val="22"/>
        </w:rPr>
        <w:t>Die rechtlichen und institutionellen Rahmenbedingungen für eine Marktentwicklung im Energiesektor, insbesondere für den Ausbau der erneuerbaren Energien und die Steigerung der Energieeffizienz, sind verbessert.</w:t>
      </w:r>
    </w:p>
    <w:p w:rsidR="00235E0D" w:rsidRPr="000E5A31" w:rsidRDefault="00235E0D" w:rsidP="00B2689A">
      <w:pPr>
        <w:pStyle w:val="Listenabsatz"/>
        <w:numPr>
          <w:ilvl w:val="0"/>
          <w:numId w:val="15"/>
        </w:numPr>
        <w:spacing w:after="120"/>
        <w:jc w:val="both"/>
        <w:rPr>
          <w:rFonts w:cs="Arial"/>
          <w:szCs w:val="22"/>
        </w:rPr>
      </w:pPr>
      <w:r w:rsidRPr="000E5A31">
        <w:rPr>
          <w:rFonts w:cs="Arial"/>
          <w:bCs/>
          <w:szCs w:val="22"/>
        </w:rPr>
        <w:t>Deutsche Klimatechnologieinitiative (DKTI I) (</w:t>
      </w:r>
      <w:r w:rsidR="007948B7" w:rsidRPr="000E5A31">
        <w:rPr>
          <w:rFonts w:cs="Arial"/>
          <w:bCs/>
          <w:szCs w:val="22"/>
        </w:rPr>
        <w:t xml:space="preserve">Laufzeit </w:t>
      </w:r>
      <w:r w:rsidRPr="000E5A31">
        <w:rPr>
          <w:rFonts w:cs="Arial"/>
          <w:bCs/>
          <w:szCs w:val="22"/>
        </w:rPr>
        <w:t>2013</w:t>
      </w:r>
      <w:r w:rsidR="00813243" w:rsidRPr="000E5A31">
        <w:rPr>
          <w:rFonts w:cs="Arial"/>
          <w:bCs/>
          <w:szCs w:val="22"/>
        </w:rPr>
        <w:t>-</w:t>
      </w:r>
      <w:r w:rsidRPr="000E5A31">
        <w:rPr>
          <w:rFonts w:cs="Arial"/>
          <w:bCs/>
          <w:szCs w:val="22"/>
        </w:rPr>
        <w:t>17):</w:t>
      </w:r>
      <w:r w:rsidRPr="000E5A31">
        <w:rPr>
          <w:rFonts w:cs="Arial"/>
          <w:b/>
          <w:bCs/>
          <w:szCs w:val="22"/>
        </w:rPr>
        <w:t xml:space="preserve"> </w:t>
      </w:r>
      <w:r w:rsidR="00813243" w:rsidRPr="000E5A31">
        <w:rPr>
          <w:rFonts w:cs="Arial"/>
          <w:bCs/>
          <w:szCs w:val="22"/>
        </w:rPr>
        <w:t xml:space="preserve">Ziel: </w:t>
      </w:r>
      <w:r w:rsidRPr="000E5A31">
        <w:rPr>
          <w:rFonts w:cs="Arial"/>
          <w:szCs w:val="22"/>
        </w:rPr>
        <w:t>Die Wissens- und Kompetenzbasis auf dem Gebiet klimafreundliche Solartechnologien ist bei m</w:t>
      </w:r>
      <w:r w:rsidRPr="000E5A31">
        <w:rPr>
          <w:rFonts w:cs="Arial"/>
          <w:szCs w:val="22"/>
        </w:rPr>
        <w:t>a</w:t>
      </w:r>
      <w:r w:rsidRPr="000E5A31">
        <w:rPr>
          <w:rFonts w:cs="Arial"/>
          <w:szCs w:val="22"/>
        </w:rPr>
        <w:t>rokkanischen Unternehmen, Forschungseinrichtungen und im Ausbildungs- und B</w:t>
      </w:r>
      <w:r w:rsidRPr="000E5A31">
        <w:rPr>
          <w:rFonts w:cs="Arial"/>
          <w:szCs w:val="22"/>
        </w:rPr>
        <w:t>e</w:t>
      </w:r>
      <w:r w:rsidRPr="000E5A31">
        <w:rPr>
          <w:rFonts w:cs="Arial"/>
          <w:szCs w:val="22"/>
        </w:rPr>
        <w:t>schäftigungssektor gestärkt</w:t>
      </w:r>
      <w:r w:rsidR="00813243" w:rsidRPr="000E5A31">
        <w:rPr>
          <w:rFonts w:cs="Arial"/>
          <w:szCs w:val="22"/>
        </w:rPr>
        <w:t>.</w:t>
      </w:r>
    </w:p>
    <w:p w:rsidR="00491C65" w:rsidRPr="000E5A31" w:rsidRDefault="00235E0D" w:rsidP="00B2689A">
      <w:pPr>
        <w:pStyle w:val="Listenabsatz"/>
        <w:numPr>
          <w:ilvl w:val="0"/>
          <w:numId w:val="15"/>
        </w:numPr>
        <w:spacing w:after="120"/>
        <w:jc w:val="both"/>
        <w:rPr>
          <w:rFonts w:cs="Arial"/>
          <w:color w:val="000000"/>
          <w:szCs w:val="22"/>
        </w:rPr>
      </w:pPr>
      <w:r w:rsidRPr="000E5A31">
        <w:rPr>
          <w:rFonts w:cs="Arial"/>
          <w:bCs/>
          <w:color w:val="000000"/>
          <w:szCs w:val="22"/>
        </w:rPr>
        <w:t>Beschäftigungsförderung durch Energieeffizienz und erneuerbare Energien in M</w:t>
      </w:r>
      <w:r w:rsidRPr="000E5A31">
        <w:rPr>
          <w:rFonts w:cs="Arial"/>
          <w:bCs/>
          <w:color w:val="000000"/>
          <w:szCs w:val="22"/>
        </w:rPr>
        <w:t>o</w:t>
      </w:r>
      <w:r w:rsidRPr="000E5A31">
        <w:rPr>
          <w:rFonts w:cs="Arial"/>
          <w:bCs/>
          <w:color w:val="000000"/>
          <w:szCs w:val="22"/>
        </w:rPr>
        <w:t xml:space="preserve">scheen (SI MENA) </w:t>
      </w:r>
      <w:r w:rsidR="00813243" w:rsidRPr="000E5A31">
        <w:rPr>
          <w:rFonts w:cs="Arial"/>
          <w:bCs/>
          <w:color w:val="000000"/>
          <w:szCs w:val="22"/>
        </w:rPr>
        <w:t>(2015-</w:t>
      </w:r>
      <w:r w:rsidRPr="000E5A31">
        <w:rPr>
          <w:rFonts w:cs="Arial"/>
          <w:bCs/>
          <w:color w:val="000000"/>
          <w:szCs w:val="22"/>
        </w:rPr>
        <w:t>17)</w:t>
      </w:r>
      <w:r w:rsidR="00491C65" w:rsidRPr="000E5A31">
        <w:rPr>
          <w:rFonts w:cs="Arial"/>
          <w:bCs/>
          <w:color w:val="000000"/>
          <w:szCs w:val="22"/>
        </w:rPr>
        <w:t>:</w:t>
      </w:r>
      <w:r w:rsidR="00491C65" w:rsidRPr="000E5A31">
        <w:rPr>
          <w:rFonts w:cs="Arial"/>
          <w:b/>
          <w:bCs/>
          <w:color w:val="000000"/>
          <w:szCs w:val="22"/>
        </w:rPr>
        <w:t xml:space="preserve"> </w:t>
      </w:r>
      <w:r w:rsidR="00813243" w:rsidRPr="000E5A31">
        <w:rPr>
          <w:rFonts w:cs="Arial"/>
          <w:bCs/>
          <w:szCs w:val="22"/>
        </w:rPr>
        <w:t xml:space="preserve">Ziel: </w:t>
      </w:r>
      <w:r w:rsidR="00491C65" w:rsidRPr="000E5A31">
        <w:rPr>
          <w:rFonts w:cs="Arial"/>
          <w:color w:val="000000"/>
          <w:szCs w:val="22"/>
        </w:rPr>
        <w:t xml:space="preserve">Auf Basis des marokkanischen Programms „Energieeffizienz in Moscheen“ sind Geschäfts- und Beschäftigungsmöglichkeiten in </w:t>
      </w:r>
      <w:r w:rsidR="00813243" w:rsidRPr="000E5A31">
        <w:rPr>
          <w:rFonts w:cs="Arial"/>
          <w:color w:val="000000"/>
          <w:szCs w:val="22"/>
        </w:rPr>
        <w:t xml:space="preserve">den Bereichen Energieeffizienz </w:t>
      </w:r>
      <w:r w:rsidR="00491C65" w:rsidRPr="000E5A31">
        <w:rPr>
          <w:rFonts w:cs="Arial"/>
          <w:color w:val="000000"/>
          <w:szCs w:val="22"/>
        </w:rPr>
        <w:t>und erneuerbare Energien geschaffen.</w:t>
      </w:r>
    </w:p>
    <w:p w:rsidR="00491C65" w:rsidRPr="000E5A31" w:rsidRDefault="00235E0D" w:rsidP="00B2689A">
      <w:pPr>
        <w:pStyle w:val="Listenabsatz"/>
        <w:numPr>
          <w:ilvl w:val="0"/>
          <w:numId w:val="15"/>
        </w:numPr>
        <w:spacing w:after="120"/>
        <w:jc w:val="both"/>
        <w:rPr>
          <w:rFonts w:cs="Arial"/>
          <w:szCs w:val="22"/>
        </w:rPr>
      </w:pPr>
      <w:r w:rsidRPr="000E5A31">
        <w:rPr>
          <w:rFonts w:cs="Arial"/>
          <w:bCs/>
          <w:color w:val="000000"/>
          <w:szCs w:val="22"/>
        </w:rPr>
        <w:t>Stärkung methodischer u</w:t>
      </w:r>
      <w:r w:rsidR="000C26D7" w:rsidRPr="000E5A31">
        <w:rPr>
          <w:rFonts w:cs="Arial"/>
          <w:bCs/>
          <w:color w:val="000000"/>
          <w:szCs w:val="22"/>
        </w:rPr>
        <w:t>nd</w:t>
      </w:r>
      <w:r w:rsidRPr="000E5A31">
        <w:rPr>
          <w:rFonts w:cs="Arial"/>
          <w:bCs/>
          <w:color w:val="000000"/>
          <w:szCs w:val="22"/>
        </w:rPr>
        <w:t xml:space="preserve"> fachlicher Kompetenzen für eine nachhaltige Energie- u</w:t>
      </w:r>
      <w:r w:rsidR="000C26D7" w:rsidRPr="000E5A31">
        <w:rPr>
          <w:rFonts w:cs="Arial"/>
          <w:bCs/>
          <w:color w:val="000000"/>
          <w:szCs w:val="22"/>
        </w:rPr>
        <w:t>nd</w:t>
      </w:r>
      <w:r w:rsidRPr="000E5A31">
        <w:rPr>
          <w:rFonts w:cs="Arial"/>
          <w:bCs/>
          <w:color w:val="000000"/>
          <w:szCs w:val="22"/>
        </w:rPr>
        <w:t xml:space="preserve"> Klimaplanung in marokkanischen Städten (2015-16)</w:t>
      </w:r>
      <w:r w:rsidR="00491C65" w:rsidRPr="000E5A31">
        <w:rPr>
          <w:rFonts w:cs="Arial"/>
          <w:bCs/>
          <w:color w:val="000000"/>
          <w:szCs w:val="22"/>
        </w:rPr>
        <w:t>:</w:t>
      </w:r>
      <w:r w:rsidR="00491C65" w:rsidRPr="000E5A31">
        <w:rPr>
          <w:rFonts w:cs="Arial"/>
          <w:b/>
          <w:bCs/>
          <w:color w:val="000000"/>
          <w:szCs w:val="22"/>
        </w:rPr>
        <w:t xml:space="preserve"> </w:t>
      </w:r>
      <w:r w:rsidR="00813243" w:rsidRPr="000E5A31">
        <w:rPr>
          <w:rFonts w:cs="Arial"/>
          <w:bCs/>
          <w:szCs w:val="22"/>
        </w:rPr>
        <w:t xml:space="preserve">Ziel: </w:t>
      </w:r>
      <w:r w:rsidR="00491C65" w:rsidRPr="000E5A31">
        <w:rPr>
          <w:rFonts w:cs="Arial"/>
          <w:szCs w:val="22"/>
        </w:rPr>
        <w:t>Die methodischen und fachlichen Kompetenzen für eine nachhaltige Stadtentwicklung in Stadtverwaltung und Zivilgesellschaft in 8 Städten Marokkos sind gestärkt.</w:t>
      </w:r>
    </w:p>
    <w:p w:rsidR="00235E0D" w:rsidRPr="000E5A31" w:rsidRDefault="00235E0D" w:rsidP="00B2689A">
      <w:pPr>
        <w:pStyle w:val="Listenabsatz"/>
        <w:numPr>
          <w:ilvl w:val="0"/>
          <w:numId w:val="15"/>
        </w:numPr>
        <w:spacing w:after="120"/>
        <w:jc w:val="both"/>
        <w:rPr>
          <w:rFonts w:cs="Arial"/>
          <w:b/>
          <w:bCs/>
          <w:szCs w:val="22"/>
        </w:rPr>
      </w:pPr>
      <w:r w:rsidRPr="000E5A31">
        <w:rPr>
          <w:rFonts w:cs="Arial"/>
          <w:bCs/>
        </w:rPr>
        <w:t xml:space="preserve">Förderung der Beschäftigung v.a. Jugendlicher im ländlichen Raum </w:t>
      </w:r>
      <w:r w:rsidR="00813243" w:rsidRPr="000E5A31">
        <w:rPr>
          <w:rFonts w:cs="Arial"/>
          <w:bCs/>
          <w:color w:val="000000"/>
          <w:szCs w:val="22"/>
        </w:rPr>
        <w:t>(2015-</w:t>
      </w:r>
      <w:r w:rsidRPr="000E5A31">
        <w:rPr>
          <w:rFonts w:cs="Arial"/>
          <w:bCs/>
          <w:color w:val="000000"/>
          <w:szCs w:val="22"/>
        </w:rPr>
        <w:t>17)</w:t>
      </w:r>
      <w:r w:rsidR="00491C65" w:rsidRPr="000E5A31">
        <w:rPr>
          <w:rFonts w:cs="Arial"/>
          <w:bCs/>
          <w:color w:val="000000"/>
          <w:szCs w:val="22"/>
        </w:rPr>
        <w:t>:</w:t>
      </w:r>
      <w:r w:rsidR="00491C65" w:rsidRPr="000E5A31">
        <w:rPr>
          <w:rFonts w:cs="Arial"/>
          <w:b/>
          <w:bCs/>
          <w:color w:val="000000"/>
          <w:szCs w:val="22"/>
        </w:rPr>
        <w:t xml:space="preserve"> </w:t>
      </w:r>
      <w:r w:rsidR="00813243" w:rsidRPr="000E5A31">
        <w:rPr>
          <w:rFonts w:cs="Arial"/>
          <w:bCs/>
          <w:szCs w:val="22"/>
        </w:rPr>
        <w:t xml:space="preserve">Ziel: </w:t>
      </w:r>
      <w:r w:rsidR="00491C65" w:rsidRPr="000E5A31">
        <w:rPr>
          <w:rFonts w:cs="Arial"/>
          <w:bCs/>
          <w:color w:val="000000"/>
          <w:szCs w:val="22"/>
        </w:rPr>
        <w:t xml:space="preserve">Die </w:t>
      </w:r>
      <w:r w:rsidR="00714B11" w:rsidRPr="000E5A31">
        <w:rPr>
          <w:rFonts w:cs="Arial"/>
          <w:bCs/>
          <w:color w:val="000000"/>
          <w:szCs w:val="22"/>
        </w:rPr>
        <w:t>Beschäftigungssitu</w:t>
      </w:r>
      <w:r w:rsidR="000E5A31">
        <w:rPr>
          <w:rFonts w:cs="Arial"/>
          <w:bCs/>
          <w:color w:val="000000"/>
          <w:szCs w:val="22"/>
        </w:rPr>
        <w:t>a</w:t>
      </w:r>
      <w:r w:rsidR="00714B11" w:rsidRPr="000E5A31">
        <w:rPr>
          <w:rFonts w:cs="Arial"/>
          <w:bCs/>
          <w:color w:val="000000"/>
          <w:szCs w:val="22"/>
        </w:rPr>
        <w:t>tion</w:t>
      </w:r>
      <w:r w:rsidR="00491C65" w:rsidRPr="000E5A31">
        <w:rPr>
          <w:rFonts w:cs="Arial"/>
          <w:bCs/>
          <w:color w:val="000000"/>
          <w:szCs w:val="22"/>
        </w:rPr>
        <w:t xml:space="preserve"> Jugendlicher im ländlichen Raum ist verbessert (Fokus auf </w:t>
      </w:r>
      <w:r w:rsidR="000C26D7" w:rsidRPr="000E5A31">
        <w:rPr>
          <w:rFonts w:cs="Arial"/>
          <w:bCs/>
          <w:color w:val="000000"/>
          <w:szCs w:val="22"/>
        </w:rPr>
        <w:t xml:space="preserve">die </w:t>
      </w:r>
      <w:r w:rsidR="00491C65" w:rsidRPr="000E5A31">
        <w:rPr>
          <w:rFonts w:cs="Arial"/>
          <w:bCs/>
          <w:color w:val="000000"/>
          <w:szCs w:val="22"/>
        </w:rPr>
        <w:t>Region Fes</w:t>
      </w:r>
      <w:r w:rsidR="000C26D7" w:rsidRPr="000E5A31">
        <w:rPr>
          <w:rFonts w:cs="Arial"/>
          <w:bCs/>
          <w:color w:val="000000"/>
          <w:szCs w:val="22"/>
        </w:rPr>
        <w:t>/</w:t>
      </w:r>
      <w:r w:rsidR="00491C65" w:rsidRPr="000E5A31">
        <w:rPr>
          <w:rFonts w:cs="Arial"/>
          <w:bCs/>
          <w:color w:val="000000"/>
          <w:szCs w:val="22"/>
        </w:rPr>
        <w:t>Taza).</w:t>
      </w:r>
    </w:p>
    <w:p w:rsidR="00491C65" w:rsidRPr="000E5A31" w:rsidRDefault="00136446" w:rsidP="00B2689A">
      <w:pPr>
        <w:pStyle w:val="Listenabsatz"/>
        <w:numPr>
          <w:ilvl w:val="0"/>
          <w:numId w:val="15"/>
        </w:numPr>
        <w:spacing w:after="120"/>
        <w:jc w:val="both"/>
        <w:rPr>
          <w:rFonts w:cs="Arial"/>
          <w:color w:val="000000"/>
          <w:szCs w:val="22"/>
        </w:rPr>
      </w:pPr>
      <w:r w:rsidRPr="000E5A31">
        <w:rPr>
          <w:rFonts w:cs="Arial"/>
          <w:bCs/>
          <w:color w:val="000000"/>
          <w:szCs w:val="22"/>
        </w:rPr>
        <w:t xml:space="preserve">Wirtschaftsförderung und ländliche Entwicklung in benachteiligten Gebieten </w:t>
      </w:r>
      <w:r w:rsidR="00813243" w:rsidRPr="000E5A31">
        <w:rPr>
          <w:rFonts w:cs="Arial"/>
          <w:bCs/>
          <w:color w:val="000000"/>
          <w:szCs w:val="22"/>
        </w:rPr>
        <w:t>(SI MENA) (2015-</w:t>
      </w:r>
      <w:r w:rsidR="00235E0D" w:rsidRPr="000E5A31">
        <w:rPr>
          <w:rFonts w:cs="Arial"/>
          <w:bCs/>
          <w:color w:val="000000"/>
          <w:szCs w:val="22"/>
        </w:rPr>
        <w:t>17)</w:t>
      </w:r>
      <w:r w:rsidR="00491C65" w:rsidRPr="000E5A31">
        <w:rPr>
          <w:rFonts w:cs="Arial"/>
          <w:bCs/>
          <w:color w:val="000000"/>
          <w:szCs w:val="22"/>
        </w:rPr>
        <w:t>:</w:t>
      </w:r>
      <w:r w:rsidR="00491C65" w:rsidRPr="000E5A31">
        <w:rPr>
          <w:rFonts w:cs="Arial"/>
          <w:b/>
          <w:bCs/>
          <w:color w:val="000000"/>
          <w:szCs w:val="22"/>
        </w:rPr>
        <w:t xml:space="preserve"> </w:t>
      </w:r>
      <w:r w:rsidR="00813243" w:rsidRPr="000E5A31">
        <w:rPr>
          <w:rFonts w:cs="Arial"/>
          <w:bCs/>
          <w:szCs w:val="22"/>
        </w:rPr>
        <w:t xml:space="preserve">Ziel: </w:t>
      </w:r>
      <w:r w:rsidR="00491C65" w:rsidRPr="000E5A31">
        <w:rPr>
          <w:rFonts w:cs="Arial"/>
          <w:color w:val="000000"/>
          <w:szCs w:val="22"/>
        </w:rPr>
        <w:t xml:space="preserve">Die wirtschaftliche Leistungsfähigkeit der lokalen Akteure in den Provinzen ist verbessert </w:t>
      </w:r>
      <w:r w:rsidR="00491C65" w:rsidRPr="000E5A31">
        <w:rPr>
          <w:rFonts w:cs="Arial"/>
          <w:bCs/>
          <w:color w:val="000000"/>
          <w:szCs w:val="22"/>
        </w:rPr>
        <w:t xml:space="preserve">(Fokus auf </w:t>
      </w:r>
      <w:r w:rsidR="000C26D7" w:rsidRPr="000E5A31">
        <w:rPr>
          <w:rFonts w:cs="Arial"/>
          <w:bCs/>
          <w:color w:val="000000"/>
          <w:szCs w:val="22"/>
        </w:rPr>
        <w:t xml:space="preserve">die </w:t>
      </w:r>
      <w:r w:rsidR="00491C65" w:rsidRPr="000E5A31">
        <w:rPr>
          <w:rFonts w:cs="Arial"/>
          <w:bCs/>
          <w:color w:val="000000"/>
          <w:szCs w:val="22"/>
        </w:rPr>
        <w:t>Souss-Massa-Draa-Region)</w:t>
      </w:r>
      <w:r w:rsidR="00491C65" w:rsidRPr="000E5A31">
        <w:rPr>
          <w:rFonts w:cs="Arial"/>
          <w:color w:val="000000"/>
          <w:szCs w:val="22"/>
        </w:rPr>
        <w:t>.</w:t>
      </w:r>
    </w:p>
    <w:p w:rsidR="00136446" w:rsidRPr="000E5A31" w:rsidRDefault="00136446" w:rsidP="00EC5B9E">
      <w:pPr>
        <w:spacing w:after="120"/>
        <w:jc w:val="both"/>
        <w:rPr>
          <w:rFonts w:cs="Arial"/>
          <w:szCs w:val="22"/>
          <w:lang w:eastAsia="en-US"/>
        </w:rPr>
      </w:pPr>
    </w:p>
    <w:p w:rsidR="00136446" w:rsidRPr="000E5A31" w:rsidRDefault="00235E0D" w:rsidP="00B2689A">
      <w:pPr>
        <w:pStyle w:val="Listenabsatz"/>
        <w:numPr>
          <w:ilvl w:val="0"/>
          <w:numId w:val="17"/>
        </w:numPr>
        <w:spacing w:after="120"/>
        <w:jc w:val="both"/>
        <w:rPr>
          <w:rFonts w:cs="Arial"/>
          <w:b/>
          <w:szCs w:val="22"/>
          <w:lang w:eastAsia="en-US"/>
        </w:rPr>
      </w:pPr>
      <w:r w:rsidRPr="000E5A31">
        <w:rPr>
          <w:rFonts w:cs="Arial"/>
          <w:b/>
          <w:szCs w:val="22"/>
          <w:lang w:eastAsia="en-US"/>
        </w:rPr>
        <w:t>T</w:t>
      </w:r>
      <w:r w:rsidR="00E044FB" w:rsidRPr="000E5A31">
        <w:rPr>
          <w:rFonts w:cs="Arial"/>
          <w:b/>
          <w:szCs w:val="22"/>
          <w:lang w:eastAsia="en-US"/>
        </w:rPr>
        <w:t>unesien</w:t>
      </w:r>
      <w:r w:rsidRPr="000E5A31">
        <w:rPr>
          <w:rFonts w:cs="Arial"/>
          <w:b/>
          <w:szCs w:val="22"/>
          <w:lang w:eastAsia="en-US"/>
        </w:rPr>
        <w:t>:</w:t>
      </w:r>
    </w:p>
    <w:p w:rsidR="00491C65" w:rsidRPr="000E5A31" w:rsidRDefault="00491C65" w:rsidP="00B2689A">
      <w:pPr>
        <w:pStyle w:val="Listenabsatz"/>
        <w:numPr>
          <w:ilvl w:val="0"/>
          <w:numId w:val="15"/>
        </w:numPr>
        <w:spacing w:after="120"/>
        <w:jc w:val="both"/>
        <w:rPr>
          <w:rFonts w:cs="Arial"/>
          <w:szCs w:val="22"/>
        </w:rPr>
      </w:pPr>
      <w:r w:rsidRPr="000E5A31">
        <w:rPr>
          <w:rFonts w:cs="Arial"/>
          <w:bCs/>
          <w:szCs w:val="22"/>
        </w:rPr>
        <w:t>Marktentwicklung dezentraler Solarenergie (DMS) (201</w:t>
      </w:r>
      <w:r w:rsidR="00813243" w:rsidRPr="000E5A31">
        <w:rPr>
          <w:rFonts w:cs="Arial"/>
          <w:bCs/>
          <w:szCs w:val="22"/>
        </w:rPr>
        <w:t>3-</w:t>
      </w:r>
      <w:r w:rsidRPr="000E5A31">
        <w:rPr>
          <w:rFonts w:cs="Arial"/>
          <w:bCs/>
          <w:szCs w:val="22"/>
        </w:rPr>
        <w:t>16):</w:t>
      </w:r>
      <w:r w:rsidRPr="000E5A31">
        <w:rPr>
          <w:rFonts w:cs="Arial"/>
          <w:b/>
          <w:bCs/>
          <w:szCs w:val="22"/>
        </w:rPr>
        <w:t xml:space="preserve"> </w:t>
      </w:r>
      <w:r w:rsidR="00813243" w:rsidRPr="000E5A31">
        <w:rPr>
          <w:rFonts w:cs="Arial"/>
          <w:bCs/>
          <w:szCs w:val="22"/>
        </w:rPr>
        <w:t xml:space="preserve">Ziel: </w:t>
      </w:r>
      <w:r w:rsidRPr="000E5A31">
        <w:rPr>
          <w:rFonts w:cs="Arial"/>
          <w:szCs w:val="22"/>
        </w:rPr>
        <w:t>Ein Markt für S</w:t>
      </w:r>
      <w:r w:rsidRPr="000E5A31">
        <w:rPr>
          <w:rFonts w:cs="Arial"/>
          <w:szCs w:val="22"/>
        </w:rPr>
        <w:t>o</w:t>
      </w:r>
      <w:r w:rsidRPr="000E5A31">
        <w:rPr>
          <w:rFonts w:cs="Arial"/>
          <w:szCs w:val="22"/>
        </w:rPr>
        <w:t>larenergie ist nachhaltig etabliert</w:t>
      </w:r>
      <w:r w:rsidR="00813243" w:rsidRPr="000E5A31">
        <w:rPr>
          <w:rFonts w:cs="Arial"/>
          <w:szCs w:val="22"/>
        </w:rPr>
        <w:t xml:space="preserve">, inkl. </w:t>
      </w:r>
      <w:r w:rsidRPr="000E5A31">
        <w:rPr>
          <w:rFonts w:cs="Arial"/>
          <w:szCs w:val="22"/>
        </w:rPr>
        <w:t>i) Staatliche Fördermechanismen, ii) Entwic</w:t>
      </w:r>
      <w:r w:rsidRPr="000E5A31">
        <w:rPr>
          <w:rFonts w:cs="Arial"/>
          <w:szCs w:val="22"/>
        </w:rPr>
        <w:t>k</w:t>
      </w:r>
      <w:r w:rsidRPr="000E5A31">
        <w:rPr>
          <w:rFonts w:cs="Arial"/>
          <w:szCs w:val="22"/>
        </w:rPr>
        <w:t>lung rentabler Geschäftsmodelle, iii) lokale</w:t>
      </w:r>
      <w:r w:rsidR="00813243" w:rsidRPr="000E5A31">
        <w:rPr>
          <w:rFonts w:cs="Arial"/>
          <w:szCs w:val="22"/>
        </w:rPr>
        <w:t xml:space="preserve"> </w:t>
      </w:r>
      <w:r w:rsidRPr="000E5A31">
        <w:rPr>
          <w:rFonts w:cs="Arial"/>
          <w:szCs w:val="22"/>
        </w:rPr>
        <w:t>&amp; regionale Solarma</w:t>
      </w:r>
      <w:r w:rsidR="000C26D7" w:rsidRPr="000E5A31">
        <w:rPr>
          <w:rFonts w:cs="Arial"/>
          <w:szCs w:val="22"/>
        </w:rPr>
        <w:t>rktförderung</w:t>
      </w:r>
      <w:r w:rsidR="00813243" w:rsidRPr="000E5A31">
        <w:rPr>
          <w:rFonts w:cs="Arial"/>
          <w:szCs w:val="22"/>
        </w:rPr>
        <w:t>.</w:t>
      </w:r>
    </w:p>
    <w:p w:rsidR="00491C65" w:rsidRPr="000E5A31" w:rsidRDefault="00235E0D" w:rsidP="00B2689A">
      <w:pPr>
        <w:pStyle w:val="Listenabsatz"/>
        <w:numPr>
          <w:ilvl w:val="0"/>
          <w:numId w:val="15"/>
        </w:numPr>
        <w:spacing w:after="120"/>
        <w:jc w:val="both"/>
        <w:rPr>
          <w:rFonts w:cs="Arial"/>
          <w:szCs w:val="22"/>
        </w:rPr>
      </w:pPr>
      <w:r w:rsidRPr="000E5A31">
        <w:rPr>
          <w:rFonts w:cs="Arial"/>
          <w:bCs/>
          <w:szCs w:val="22"/>
        </w:rPr>
        <w:t>Verbesserter Zugang breiter Bevölkerungsteile zur Zukunftstechnologie Solarenergie in Tunesien</w:t>
      </w:r>
      <w:r w:rsidR="00813243" w:rsidRPr="000E5A31">
        <w:rPr>
          <w:rFonts w:cs="Arial"/>
          <w:bCs/>
          <w:szCs w:val="22"/>
        </w:rPr>
        <w:t xml:space="preserve"> (2015-</w:t>
      </w:r>
      <w:r w:rsidRPr="000E5A31">
        <w:rPr>
          <w:rFonts w:cs="Arial"/>
          <w:bCs/>
          <w:szCs w:val="22"/>
        </w:rPr>
        <w:t>17)</w:t>
      </w:r>
      <w:r w:rsidR="00491C65" w:rsidRPr="000E5A31">
        <w:rPr>
          <w:rFonts w:cs="Arial"/>
          <w:bCs/>
          <w:szCs w:val="22"/>
        </w:rPr>
        <w:t xml:space="preserve">: </w:t>
      </w:r>
      <w:r w:rsidR="00813243" w:rsidRPr="000E5A31">
        <w:rPr>
          <w:rFonts w:cs="Arial"/>
          <w:bCs/>
          <w:szCs w:val="22"/>
        </w:rPr>
        <w:t xml:space="preserve">Ziel: </w:t>
      </w:r>
      <w:r w:rsidR="00491C65" w:rsidRPr="000E5A31">
        <w:rPr>
          <w:rFonts w:cs="Arial"/>
          <w:szCs w:val="22"/>
        </w:rPr>
        <w:t>Die Mechanismen öffentlicher Institutionen zur Informat</w:t>
      </w:r>
      <w:r w:rsidR="00491C65" w:rsidRPr="000E5A31">
        <w:rPr>
          <w:rFonts w:cs="Arial"/>
          <w:szCs w:val="22"/>
        </w:rPr>
        <w:t>i</w:t>
      </w:r>
      <w:r w:rsidR="00491C65" w:rsidRPr="000E5A31">
        <w:rPr>
          <w:rFonts w:cs="Arial"/>
          <w:szCs w:val="22"/>
        </w:rPr>
        <w:t>on und Beteiligu</w:t>
      </w:r>
      <w:r w:rsidR="00703C16" w:rsidRPr="000E5A31">
        <w:rPr>
          <w:rFonts w:cs="Arial"/>
          <w:szCs w:val="22"/>
        </w:rPr>
        <w:t xml:space="preserve">ng von Bürgern bei der Nutzung </w:t>
      </w:r>
      <w:r w:rsidR="00491C65" w:rsidRPr="000E5A31">
        <w:rPr>
          <w:rFonts w:cs="Arial"/>
          <w:szCs w:val="22"/>
        </w:rPr>
        <w:t>der Solarenergie sind verbessert.</w:t>
      </w:r>
    </w:p>
    <w:p w:rsidR="00491C65" w:rsidRPr="000E5A31" w:rsidRDefault="00491C65" w:rsidP="00B2689A">
      <w:pPr>
        <w:pStyle w:val="Listenabsatz"/>
        <w:numPr>
          <w:ilvl w:val="0"/>
          <w:numId w:val="15"/>
        </w:numPr>
        <w:spacing w:after="120"/>
        <w:jc w:val="both"/>
        <w:rPr>
          <w:rFonts w:cs="Arial"/>
          <w:szCs w:val="22"/>
        </w:rPr>
      </w:pPr>
      <w:r w:rsidRPr="000E5A31">
        <w:rPr>
          <w:rFonts w:cs="Arial"/>
          <w:bCs/>
          <w:color w:val="111111"/>
          <w:szCs w:val="22"/>
        </w:rPr>
        <w:t>Innovation, Beschäftigung und regionale Entwicklung (IDEE) (2014-17):</w:t>
      </w:r>
      <w:r w:rsidRPr="000E5A31">
        <w:rPr>
          <w:rFonts w:cs="Arial"/>
          <w:b/>
          <w:bCs/>
          <w:color w:val="111111"/>
          <w:szCs w:val="22"/>
        </w:rPr>
        <w:t xml:space="preserve"> </w:t>
      </w:r>
      <w:r w:rsidR="00813243" w:rsidRPr="000E5A31">
        <w:rPr>
          <w:rFonts w:cs="Arial"/>
          <w:bCs/>
          <w:szCs w:val="22"/>
        </w:rPr>
        <w:t xml:space="preserve">Ziel: </w:t>
      </w:r>
      <w:r w:rsidRPr="000E5A31">
        <w:rPr>
          <w:rFonts w:cs="Arial"/>
          <w:szCs w:val="22"/>
        </w:rPr>
        <w:t>Die V</w:t>
      </w:r>
      <w:r w:rsidRPr="000E5A31">
        <w:rPr>
          <w:rFonts w:cs="Arial"/>
          <w:szCs w:val="22"/>
        </w:rPr>
        <w:t>o</w:t>
      </w:r>
      <w:r w:rsidRPr="000E5A31">
        <w:rPr>
          <w:rFonts w:cs="Arial"/>
          <w:szCs w:val="22"/>
        </w:rPr>
        <w:t>raussetzungen für beschäftigungsintensives Wachstum in den ausgewählten Regi</w:t>
      </w:r>
      <w:r w:rsidRPr="000E5A31">
        <w:rPr>
          <w:rFonts w:cs="Arial"/>
          <w:szCs w:val="22"/>
        </w:rPr>
        <w:t>o</w:t>
      </w:r>
      <w:r w:rsidRPr="000E5A31">
        <w:rPr>
          <w:rFonts w:cs="Arial"/>
          <w:szCs w:val="22"/>
        </w:rPr>
        <w:t>nen und Wertschöpfungsketten bzw. Branchen sind verbessert.</w:t>
      </w:r>
    </w:p>
    <w:p w:rsidR="00136446" w:rsidRPr="000E5A31" w:rsidRDefault="00136446" w:rsidP="00EC5B9E">
      <w:pPr>
        <w:spacing w:after="120"/>
        <w:jc w:val="both"/>
        <w:rPr>
          <w:rFonts w:cs="Arial"/>
          <w:szCs w:val="22"/>
          <w:lang w:eastAsia="en-US"/>
        </w:rPr>
      </w:pPr>
    </w:p>
    <w:p w:rsidR="00136446" w:rsidRPr="000E5A31" w:rsidRDefault="00E044FB" w:rsidP="00B2689A">
      <w:pPr>
        <w:pStyle w:val="Listenabsatz"/>
        <w:numPr>
          <w:ilvl w:val="0"/>
          <w:numId w:val="18"/>
        </w:numPr>
        <w:spacing w:after="120"/>
        <w:jc w:val="both"/>
        <w:rPr>
          <w:rFonts w:cs="Arial"/>
          <w:b/>
          <w:szCs w:val="22"/>
          <w:lang w:eastAsia="en-US"/>
        </w:rPr>
      </w:pPr>
      <w:r w:rsidRPr="000E5A31">
        <w:rPr>
          <w:rFonts w:cs="Arial"/>
          <w:b/>
          <w:szCs w:val="22"/>
          <w:lang w:eastAsia="en-US"/>
        </w:rPr>
        <w:t>Ägypten</w:t>
      </w:r>
      <w:r w:rsidR="00491C65" w:rsidRPr="000E5A31">
        <w:rPr>
          <w:rFonts w:cs="Arial"/>
          <w:b/>
          <w:szCs w:val="22"/>
          <w:lang w:eastAsia="en-US"/>
        </w:rPr>
        <w:t>:</w:t>
      </w:r>
    </w:p>
    <w:p w:rsidR="00EC5B9E" w:rsidRPr="000E5A31" w:rsidRDefault="00EC5B9E" w:rsidP="00B2689A">
      <w:pPr>
        <w:pStyle w:val="Listenabsatz"/>
        <w:numPr>
          <w:ilvl w:val="0"/>
          <w:numId w:val="15"/>
        </w:numPr>
        <w:spacing w:after="120"/>
        <w:jc w:val="both"/>
        <w:rPr>
          <w:rFonts w:cs="Arial"/>
          <w:color w:val="000000"/>
          <w:szCs w:val="22"/>
        </w:rPr>
      </w:pPr>
      <w:r w:rsidRPr="000E5A31">
        <w:rPr>
          <w:rFonts w:cs="Arial"/>
          <w:bCs/>
          <w:color w:val="000000"/>
          <w:szCs w:val="22"/>
        </w:rPr>
        <w:t xml:space="preserve">Ägyptisch-deutsches Komitee zur Förderung </w:t>
      </w:r>
      <w:r w:rsidR="00813243" w:rsidRPr="000E5A31">
        <w:rPr>
          <w:rFonts w:cs="Arial"/>
          <w:bCs/>
          <w:color w:val="000000"/>
          <w:szCs w:val="22"/>
        </w:rPr>
        <w:t>von</w:t>
      </w:r>
      <w:r w:rsidRPr="000E5A31">
        <w:rPr>
          <w:rFonts w:cs="Arial"/>
          <w:bCs/>
          <w:color w:val="000000"/>
          <w:szCs w:val="22"/>
        </w:rPr>
        <w:t xml:space="preserve"> erneuerbaren Energien, Energiee</w:t>
      </w:r>
      <w:r w:rsidRPr="000E5A31">
        <w:rPr>
          <w:rFonts w:cs="Arial"/>
          <w:bCs/>
          <w:color w:val="000000"/>
          <w:szCs w:val="22"/>
        </w:rPr>
        <w:t>f</w:t>
      </w:r>
      <w:r w:rsidRPr="000E5A31">
        <w:rPr>
          <w:rFonts w:cs="Arial"/>
          <w:bCs/>
          <w:color w:val="000000"/>
          <w:szCs w:val="22"/>
        </w:rPr>
        <w:t>fizienz und Umweltschutz (JCEE) (</w:t>
      </w:r>
      <w:r w:rsidR="00813243" w:rsidRPr="000E5A31">
        <w:rPr>
          <w:rFonts w:cs="Arial"/>
          <w:bCs/>
          <w:color w:val="000000"/>
          <w:szCs w:val="22"/>
        </w:rPr>
        <w:t>2011-</w:t>
      </w:r>
      <w:r w:rsidRPr="000E5A31">
        <w:rPr>
          <w:rFonts w:cs="Arial"/>
          <w:bCs/>
          <w:color w:val="000000"/>
          <w:szCs w:val="22"/>
        </w:rPr>
        <w:t>15):</w:t>
      </w:r>
      <w:r w:rsidRPr="000E5A31">
        <w:rPr>
          <w:rFonts w:cs="Arial"/>
          <w:b/>
          <w:bCs/>
          <w:color w:val="000000"/>
          <w:szCs w:val="22"/>
        </w:rPr>
        <w:t xml:space="preserve"> </w:t>
      </w:r>
      <w:r w:rsidR="00813243" w:rsidRPr="000E5A31">
        <w:rPr>
          <w:rFonts w:cs="Arial"/>
          <w:bCs/>
          <w:szCs w:val="22"/>
        </w:rPr>
        <w:t xml:space="preserve">Ziel: </w:t>
      </w:r>
      <w:r w:rsidRPr="000E5A31">
        <w:rPr>
          <w:rFonts w:cs="Arial"/>
          <w:color w:val="000000"/>
          <w:szCs w:val="22"/>
        </w:rPr>
        <w:t>Die Kapazitäten der ägypti</w:t>
      </w:r>
      <w:r w:rsidR="00813243" w:rsidRPr="000E5A31">
        <w:rPr>
          <w:rFonts w:cs="Arial"/>
          <w:color w:val="000000"/>
          <w:szCs w:val="22"/>
        </w:rPr>
        <w:t>schen M</w:t>
      </w:r>
      <w:r w:rsidRPr="000E5A31">
        <w:rPr>
          <w:rFonts w:cs="Arial"/>
          <w:color w:val="000000"/>
          <w:szCs w:val="22"/>
        </w:rPr>
        <w:t>inisterien und ihrer nachgelagerten Behörden</w:t>
      </w:r>
      <w:r w:rsidR="007948B7" w:rsidRPr="000E5A31">
        <w:rPr>
          <w:rFonts w:cs="Arial"/>
          <w:color w:val="000000"/>
          <w:szCs w:val="22"/>
        </w:rPr>
        <w:t>,</w:t>
      </w:r>
      <w:r w:rsidRPr="000E5A31">
        <w:rPr>
          <w:rFonts w:cs="Arial"/>
          <w:color w:val="000000"/>
          <w:szCs w:val="22"/>
        </w:rPr>
        <w:t xml:space="preserve"> längerfristige Strategien zu erneue</w:t>
      </w:r>
      <w:r w:rsidRPr="000E5A31">
        <w:rPr>
          <w:rFonts w:cs="Arial"/>
          <w:color w:val="000000"/>
          <w:szCs w:val="22"/>
        </w:rPr>
        <w:t>r</w:t>
      </w:r>
      <w:r w:rsidRPr="000E5A31">
        <w:rPr>
          <w:rFonts w:cs="Arial"/>
          <w:color w:val="000000"/>
          <w:szCs w:val="22"/>
        </w:rPr>
        <w:t>baren Energien und Energieeffizienz zu entwickeln und umzusetzen</w:t>
      </w:r>
      <w:r w:rsidR="007948B7" w:rsidRPr="000E5A31">
        <w:rPr>
          <w:rFonts w:cs="Arial"/>
          <w:color w:val="000000"/>
          <w:szCs w:val="22"/>
        </w:rPr>
        <w:t>,</w:t>
      </w:r>
      <w:r w:rsidRPr="000E5A31">
        <w:rPr>
          <w:rFonts w:cs="Arial"/>
          <w:color w:val="000000"/>
          <w:szCs w:val="22"/>
        </w:rPr>
        <w:t xml:space="preserve"> sind gestärkt.</w:t>
      </w:r>
    </w:p>
    <w:p w:rsidR="00EC5B9E" w:rsidRPr="000E5A31" w:rsidRDefault="00EC5B9E" w:rsidP="00B2689A">
      <w:pPr>
        <w:pStyle w:val="Listenabsatz"/>
        <w:numPr>
          <w:ilvl w:val="0"/>
          <w:numId w:val="15"/>
        </w:numPr>
        <w:spacing w:after="120"/>
        <w:jc w:val="both"/>
        <w:rPr>
          <w:rFonts w:cs="Arial"/>
          <w:color w:val="111111"/>
          <w:szCs w:val="22"/>
        </w:rPr>
      </w:pPr>
      <w:r w:rsidRPr="000E5A31">
        <w:rPr>
          <w:rFonts w:cs="Arial"/>
          <w:bCs/>
          <w:color w:val="000000"/>
          <w:szCs w:val="22"/>
        </w:rPr>
        <w:t>Privatsektorförderung in Ägypten (PSDP) (2015-18):</w:t>
      </w:r>
      <w:r w:rsidRPr="000E5A31">
        <w:rPr>
          <w:rFonts w:cs="Arial"/>
          <w:b/>
          <w:bCs/>
          <w:color w:val="000000"/>
          <w:szCs w:val="22"/>
        </w:rPr>
        <w:t xml:space="preserve"> </w:t>
      </w:r>
      <w:r w:rsidR="00813243" w:rsidRPr="000E5A31">
        <w:rPr>
          <w:rFonts w:cs="Arial"/>
          <w:bCs/>
          <w:szCs w:val="22"/>
        </w:rPr>
        <w:t xml:space="preserve">Ziel: </w:t>
      </w:r>
      <w:r w:rsidRPr="000E5A31">
        <w:rPr>
          <w:rFonts w:cs="Arial"/>
          <w:color w:val="111111"/>
          <w:szCs w:val="22"/>
        </w:rPr>
        <w:t>Politische und institutionelle Rahmenbedingungen für eine nachhaltige, innovative Produktion sind geschaffen.</w:t>
      </w:r>
    </w:p>
    <w:p w:rsidR="00EC5B9E" w:rsidRPr="000E5A31" w:rsidRDefault="00EC5B9E" w:rsidP="00B2689A">
      <w:pPr>
        <w:pStyle w:val="Listenabsatz"/>
        <w:numPr>
          <w:ilvl w:val="0"/>
          <w:numId w:val="15"/>
        </w:numPr>
        <w:spacing w:after="120"/>
        <w:jc w:val="both"/>
        <w:rPr>
          <w:rFonts w:cs="Arial"/>
          <w:color w:val="111111"/>
          <w:szCs w:val="22"/>
        </w:rPr>
      </w:pPr>
      <w:r w:rsidRPr="000E5A31">
        <w:rPr>
          <w:rFonts w:cs="Arial"/>
          <w:bCs/>
          <w:color w:val="000000"/>
          <w:szCs w:val="22"/>
        </w:rPr>
        <w:lastRenderedPageBreak/>
        <w:t>Jugendbeschäftigung und Qualifizierung (EPP) (2011-15):</w:t>
      </w:r>
      <w:r w:rsidRPr="000E5A31">
        <w:rPr>
          <w:rFonts w:cs="Arial"/>
          <w:b/>
          <w:bCs/>
          <w:color w:val="000000"/>
          <w:szCs w:val="22"/>
        </w:rPr>
        <w:t xml:space="preserve"> </w:t>
      </w:r>
      <w:r w:rsidR="00813243" w:rsidRPr="000E5A31">
        <w:rPr>
          <w:rFonts w:cs="Arial"/>
          <w:bCs/>
          <w:szCs w:val="22"/>
        </w:rPr>
        <w:t xml:space="preserve">Ziel: </w:t>
      </w:r>
      <w:r w:rsidRPr="000E5A31">
        <w:rPr>
          <w:rFonts w:cs="Arial"/>
          <w:color w:val="111111"/>
          <w:szCs w:val="22"/>
        </w:rPr>
        <w:t>Akteure aus Politik und Wirtschaft sind in der Lage, beschäftigungspolitische Ansätze in öffentlich-privater Partnerschaft umzusetzen.</w:t>
      </w:r>
    </w:p>
    <w:p w:rsidR="00EC5B9E" w:rsidRPr="000E5A31" w:rsidRDefault="00EC5B9E" w:rsidP="00EC5B9E">
      <w:pPr>
        <w:spacing w:after="120"/>
        <w:jc w:val="both"/>
        <w:rPr>
          <w:rFonts w:cs="Arial"/>
          <w:b/>
          <w:bCs/>
          <w:color w:val="000000"/>
          <w:szCs w:val="22"/>
        </w:rPr>
      </w:pPr>
    </w:p>
    <w:p w:rsidR="00EC5B9E" w:rsidRPr="000E5A31" w:rsidRDefault="00EC5B9E" w:rsidP="00B2689A">
      <w:pPr>
        <w:pStyle w:val="Listenabsatz"/>
        <w:numPr>
          <w:ilvl w:val="0"/>
          <w:numId w:val="18"/>
        </w:numPr>
        <w:spacing w:after="120"/>
        <w:jc w:val="both"/>
        <w:rPr>
          <w:rFonts w:cs="Arial"/>
          <w:b/>
          <w:bCs/>
          <w:color w:val="000000"/>
          <w:szCs w:val="22"/>
        </w:rPr>
      </w:pPr>
      <w:r w:rsidRPr="000E5A31">
        <w:rPr>
          <w:rFonts w:cs="Arial"/>
          <w:b/>
          <w:bCs/>
          <w:color w:val="000000"/>
          <w:szCs w:val="22"/>
        </w:rPr>
        <w:t>R</w:t>
      </w:r>
      <w:r w:rsidR="00E044FB" w:rsidRPr="000E5A31">
        <w:rPr>
          <w:rFonts w:cs="Arial"/>
          <w:b/>
          <w:bCs/>
          <w:color w:val="000000"/>
          <w:szCs w:val="22"/>
        </w:rPr>
        <w:t>egional</w:t>
      </w:r>
      <w:r w:rsidRPr="000E5A31">
        <w:rPr>
          <w:rFonts w:cs="Arial"/>
          <w:b/>
          <w:bCs/>
          <w:color w:val="000000"/>
          <w:szCs w:val="22"/>
        </w:rPr>
        <w:t>:</w:t>
      </w:r>
    </w:p>
    <w:p w:rsidR="00EC5B9E" w:rsidRPr="000E5A31" w:rsidRDefault="00EC5B9E" w:rsidP="00B2689A">
      <w:pPr>
        <w:pStyle w:val="Listenabsatz"/>
        <w:numPr>
          <w:ilvl w:val="0"/>
          <w:numId w:val="15"/>
        </w:numPr>
        <w:spacing w:after="120"/>
        <w:jc w:val="both"/>
        <w:rPr>
          <w:rFonts w:cs="Arial"/>
          <w:szCs w:val="22"/>
        </w:rPr>
      </w:pPr>
      <w:r w:rsidRPr="000E5A31">
        <w:rPr>
          <w:rFonts w:cs="Arial"/>
          <w:bCs/>
          <w:color w:val="000000"/>
          <w:szCs w:val="22"/>
        </w:rPr>
        <w:t>Politikberatung und Wissensmanagement zu Niedrigemissionsstrategien, insbeso</w:t>
      </w:r>
      <w:r w:rsidRPr="000E5A31">
        <w:rPr>
          <w:rFonts w:cs="Arial"/>
          <w:bCs/>
          <w:color w:val="000000"/>
          <w:szCs w:val="22"/>
        </w:rPr>
        <w:t>n</w:t>
      </w:r>
      <w:r w:rsidRPr="000E5A31">
        <w:rPr>
          <w:rFonts w:cs="Arial"/>
          <w:bCs/>
          <w:color w:val="000000"/>
          <w:szCs w:val="22"/>
        </w:rPr>
        <w:t>dere erneuerbare Energien in der MENA-Region (2014-17):</w:t>
      </w:r>
      <w:r w:rsidRPr="000E5A31">
        <w:rPr>
          <w:rFonts w:cs="Arial"/>
          <w:szCs w:val="22"/>
        </w:rPr>
        <w:t xml:space="preserve"> </w:t>
      </w:r>
      <w:r w:rsidR="00813243" w:rsidRPr="000E5A31">
        <w:rPr>
          <w:rFonts w:cs="Arial"/>
          <w:bCs/>
          <w:szCs w:val="22"/>
        </w:rPr>
        <w:t xml:space="preserve">Ziel: </w:t>
      </w:r>
      <w:r w:rsidRPr="000E5A31">
        <w:rPr>
          <w:rFonts w:cs="Arial"/>
          <w:szCs w:val="22"/>
        </w:rPr>
        <w:t>Stärkung regionaler und nationaler Akteure in der MENA-Region bei Übertragung von Ansätzen zur Mi</w:t>
      </w:r>
      <w:r w:rsidRPr="000E5A31">
        <w:rPr>
          <w:rFonts w:cs="Arial"/>
          <w:szCs w:val="22"/>
        </w:rPr>
        <w:t>n</w:t>
      </w:r>
      <w:r w:rsidRPr="000E5A31">
        <w:rPr>
          <w:rFonts w:cs="Arial"/>
          <w:szCs w:val="22"/>
        </w:rPr>
        <w:t>derung von Treibhausgasemissionen durch erneuerbare Energien.</w:t>
      </w:r>
    </w:p>
    <w:p w:rsidR="00EC5B9E" w:rsidRPr="000E5A31" w:rsidRDefault="00EC5B9E" w:rsidP="00B2689A">
      <w:pPr>
        <w:pStyle w:val="Listenabsatz"/>
        <w:numPr>
          <w:ilvl w:val="0"/>
          <w:numId w:val="15"/>
        </w:numPr>
        <w:spacing w:after="120"/>
        <w:jc w:val="both"/>
        <w:rPr>
          <w:rFonts w:cs="Arial"/>
          <w:szCs w:val="22"/>
        </w:rPr>
      </w:pPr>
      <w:r w:rsidRPr="000E5A31">
        <w:rPr>
          <w:rFonts w:cs="Arial"/>
          <w:bCs/>
          <w:szCs w:val="22"/>
        </w:rPr>
        <w:t>Regionalfonds Qualifizierung und Beschäftigungsförderung Jugendlicher in MENA II (2013-16):</w:t>
      </w:r>
      <w:r w:rsidRPr="000E5A31">
        <w:rPr>
          <w:rFonts w:cs="Arial"/>
          <w:b/>
          <w:bCs/>
          <w:szCs w:val="22"/>
        </w:rPr>
        <w:t xml:space="preserve"> </w:t>
      </w:r>
      <w:r w:rsidR="00813243" w:rsidRPr="000E5A31">
        <w:rPr>
          <w:rFonts w:cs="Arial"/>
          <w:bCs/>
          <w:szCs w:val="22"/>
        </w:rPr>
        <w:t xml:space="preserve">Ziel: </w:t>
      </w:r>
      <w:r w:rsidRPr="000E5A31">
        <w:rPr>
          <w:rFonts w:cs="Arial"/>
          <w:szCs w:val="22"/>
        </w:rPr>
        <w:t>Arbeitsmarktrelevant ausgebildete Jugendliche haben ihr Potential erhöht, selbständig oder abhängig Einkommen zu erwirtschaften.</w:t>
      </w:r>
    </w:p>
    <w:p w:rsidR="00EC5B9E" w:rsidRPr="000E5A31" w:rsidRDefault="00EC5B9E" w:rsidP="00B2689A">
      <w:pPr>
        <w:pStyle w:val="Listenabsatz"/>
        <w:numPr>
          <w:ilvl w:val="0"/>
          <w:numId w:val="15"/>
        </w:numPr>
        <w:spacing w:after="120"/>
        <w:jc w:val="both"/>
        <w:rPr>
          <w:rFonts w:cs="Arial"/>
          <w:bCs/>
          <w:szCs w:val="22"/>
        </w:rPr>
      </w:pPr>
      <w:r w:rsidRPr="000E5A31">
        <w:rPr>
          <w:rFonts w:cs="Arial"/>
          <w:bCs/>
          <w:szCs w:val="22"/>
        </w:rPr>
        <w:t>Energieeffizienz im Gebäudesektor in südlichen und östlichen Mittelmeerländern (IS-MEDENEC) (2009-15)</w:t>
      </w:r>
    </w:p>
    <w:p w:rsidR="00EC5B9E" w:rsidRPr="000E5A31" w:rsidRDefault="00EC5B9E" w:rsidP="00B2689A">
      <w:pPr>
        <w:pStyle w:val="Listenabsatz"/>
        <w:numPr>
          <w:ilvl w:val="0"/>
          <w:numId w:val="15"/>
        </w:numPr>
        <w:spacing w:after="120"/>
        <w:jc w:val="both"/>
        <w:rPr>
          <w:rFonts w:cs="Arial"/>
          <w:bCs/>
          <w:color w:val="000000"/>
          <w:szCs w:val="22"/>
        </w:rPr>
      </w:pPr>
      <w:r w:rsidRPr="000E5A31">
        <w:rPr>
          <w:rFonts w:cs="Arial"/>
          <w:bCs/>
          <w:color w:val="000000"/>
          <w:szCs w:val="22"/>
        </w:rPr>
        <w:t xml:space="preserve">Sustainable Urban Demonstration Projects </w:t>
      </w:r>
      <w:r w:rsidRPr="000E5A31">
        <w:rPr>
          <w:rFonts w:cs="Arial"/>
          <w:bCs/>
          <w:szCs w:val="22"/>
        </w:rPr>
        <w:t>in südlichen und östlichen Mittelmeerlä</w:t>
      </w:r>
      <w:r w:rsidRPr="000E5A31">
        <w:rPr>
          <w:rFonts w:cs="Arial"/>
          <w:bCs/>
          <w:szCs w:val="22"/>
        </w:rPr>
        <w:t>n</w:t>
      </w:r>
      <w:r w:rsidRPr="000E5A31">
        <w:rPr>
          <w:rFonts w:cs="Arial"/>
          <w:bCs/>
          <w:szCs w:val="22"/>
        </w:rPr>
        <w:t xml:space="preserve">dern </w:t>
      </w:r>
      <w:r w:rsidRPr="000E5A31">
        <w:rPr>
          <w:rFonts w:cs="Arial"/>
          <w:bCs/>
          <w:color w:val="000000"/>
          <w:szCs w:val="22"/>
        </w:rPr>
        <w:t>(IS-SUDEP) (2014-17)</w:t>
      </w:r>
    </w:p>
    <w:p w:rsidR="000C26D7" w:rsidRPr="000E5A31" w:rsidRDefault="000C26D7" w:rsidP="00EC5B9E">
      <w:pPr>
        <w:spacing w:after="120"/>
        <w:jc w:val="both"/>
        <w:rPr>
          <w:rFonts w:cs="Arial"/>
          <w:szCs w:val="22"/>
          <w:lang w:eastAsia="en-US"/>
        </w:rPr>
      </w:pPr>
    </w:p>
    <w:p w:rsidR="002923E8" w:rsidRPr="000E5A31" w:rsidRDefault="002923E8" w:rsidP="00EC5B9E">
      <w:pPr>
        <w:spacing w:after="120"/>
        <w:jc w:val="both"/>
        <w:rPr>
          <w:rFonts w:cs="Arial"/>
          <w:szCs w:val="22"/>
          <w:lang w:eastAsia="en-US"/>
        </w:rPr>
      </w:pPr>
      <w:r w:rsidRPr="000E5A31">
        <w:rPr>
          <w:rFonts w:cs="Arial"/>
          <w:szCs w:val="22"/>
          <w:lang w:eastAsia="en-US"/>
        </w:rPr>
        <w:t xml:space="preserve">Die drei existierenden energiepolitischen Dialogplattformen </w:t>
      </w:r>
      <w:r w:rsidR="00C47098" w:rsidRPr="000E5A31">
        <w:rPr>
          <w:rFonts w:cs="Arial"/>
          <w:szCs w:val="22"/>
          <w:lang w:eastAsia="en-US"/>
        </w:rPr>
        <w:t xml:space="preserve">zwischen der Bundesrepublik Deutschland und den Partnerländern in MENA </w:t>
      </w:r>
      <w:r w:rsidRPr="000E5A31">
        <w:rPr>
          <w:rFonts w:cs="Arial"/>
          <w:szCs w:val="22"/>
          <w:lang w:eastAsia="en-US"/>
        </w:rPr>
        <w:t>– die Deutsch-Marokkanische Energiepar</w:t>
      </w:r>
      <w:r w:rsidRPr="000E5A31">
        <w:rPr>
          <w:rFonts w:cs="Arial"/>
          <w:szCs w:val="22"/>
          <w:lang w:eastAsia="en-US"/>
        </w:rPr>
        <w:t>t</w:t>
      </w:r>
      <w:r w:rsidRPr="000E5A31">
        <w:rPr>
          <w:rFonts w:cs="Arial"/>
          <w:szCs w:val="22"/>
          <w:lang w:eastAsia="en-US"/>
        </w:rPr>
        <w:t xml:space="preserve">nerschaft, die Deutsch-Tunesische Energiepartnerschaft sowie das Deutsch-Ägyptische High Level Committee </w:t>
      </w:r>
      <w:r w:rsidR="00C47098" w:rsidRPr="000E5A31">
        <w:rPr>
          <w:rFonts w:cs="Arial"/>
          <w:szCs w:val="22"/>
          <w:lang w:eastAsia="en-US"/>
        </w:rPr>
        <w:t xml:space="preserve">- </w:t>
      </w:r>
      <w:r w:rsidRPr="000E5A31">
        <w:rPr>
          <w:rFonts w:cs="Arial"/>
          <w:szCs w:val="22"/>
          <w:lang w:eastAsia="en-US"/>
        </w:rPr>
        <w:t xml:space="preserve">spielen ebenfalls eine wichtige Rolle für die politische Verankerung und institutionen- und sektorübergreifende Begleitung und Unterstützung o.g. Projekte und </w:t>
      </w:r>
      <w:r w:rsidR="00714B11" w:rsidRPr="000E5A31">
        <w:rPr>
          <w:rFonts w:cs="Arial"/>
          <w:szCs w:val="22"/>
          <w:lang w:eastAsia="en-US"/>
        </w:rPr>
        <w:t>Pr</w:t>
      </w:r>
      <w:r w:rsidR="00714B11" w:rsidRPr="000E5A31">
        <w:rPr>
          <w:rFonts w:cs="Arial"/>
          <w:szCs w:val="22"/>
          <w:lang w:eastAsia="en-US"/>
        </w:rPr>
        <w:t>o</w:t>
      </w:r>
      <w:r w:rsidR="00714B11" w:rsidRPr="000E5A31">
        <w:rPr>
          <w:rFonts w:cs="Arial"/>
          <w:szCs w:val="22"/>
          <w:lang w:eastAsia="en-US"/>
        </w:rPr>
        <w:t>gramme</w:t>
      </w:r>
      <w:r w:rsidRPr="000E5A31">
        <w:rPr>
          <w:rFonts w:cs="Arial"/>
          <w:szCs w:val="22"/>
          <w:lang w:eastAsia="en-US"/>
        </w:rPr>
        <w:t>. Im Berichtszeit</w:t>
      </w:r>
      <w:r w:rsidR="007948B7" w:rsidRPr="000E5A31">
        <w:rPr>
          <w:rFonts w:cs="Arial"/>
          <w:szCs w:val="22"/>
          <w:lang w:eastAsia="en-US"/>
        </w:rPr>
        <w:t>raum</w:t>
      </w:r>
      <w:r w:rsidRPr="000E5A31">
        <w:rPr>
          <w:rFonts w:cs="Arial"/>
          <w:szCs w:val="22"/>
          <w:lang w:eastAsia="en-US"/>
        </w:rPr>
        <w:t xml:space="preserve"> führten alle drei </w:t>
      </w:r>
      <w:r w:rsidR="00714B11" w:rsidRPr="000E5A31">
        <w:rPr>
          <w:rFonts w:cs="Arial"/>
          <w:szCs w:val="22"/>
          <w:lang w:eastAsia="en-US"/>
        </w:rPr>
        <w:t>Plattformen</w:t>
      </w:r>
      <w:r w:rsidRPr="000E5A31">
        <w:rPr>
          <w:rFonts w:cs="Arial"/>
          <w:szCs w:val="22"/>
          <w:lang w:eastAsia="en-US"/>
        </w:rPr>
        <w:t xml:space="preserve"> erfolgreiche Arbeits- und Steu</w:t>
      </w:r>
      <w:r w:rsidRPr="000E5A31">
        <w:rPr>
          <w:rFonts w:cs="Arial"/>
          <w:szCs w:val="22"/>
          <w:lang w:eastAsia="en-US"/>
        </w:rPr>
        <w:t>e</w:t>
      </w:r>
      <w:r w:rsidRPr="000E5A31">
        <w:rPr>
          <w:rFonts w:cs="Arial"/>
          <w:szCs w:val="22"/>
          <w:lang w:eastAsia="en-US"/>
        </w:rPr>
        <w:t xml:space="preserve">rungstreffen mit Beteiligung ihrer </w:t>
      </w:r>
      <w:r w:rsidR="00714B11" w:rsidRPr="000E5A31">
        <w:rPr>
          <w:rFonts w:cs="Arial"/>
          <w:szCs w:val="22"/>
          <w:lang w:eastAsia="en-US"/>
        </w:rPr>
        <w:t>politischen</w:t>
      </w:r>
      <w:r w:rsidRPr="000E5A31">
        <w:rPr>
          <w:rFonts w:cs="Arial"/>
          <w:szCs w:val="22"/>
          <w:lang w:eastAsia="en-US"/>
        </w:rPr>
        <w:t xml:space="preserve"> Träger und Stakeholder durch, in denen auch die Verbindung </w:t>
      </w:r>
      <w:r w:rsidR="000E5A31" w:rsidRPr="000E5A31">
        <w:rPr>
          <w:rFonts w:cs="Arial"/>
          <w:szCs w:val="22"/>
          <w:lang w:eastAsia="en-US"/>
        </w:rPr>
        <w:t>energiepolitischer</w:t>
      </w:r>
      <w:r w:rsidRPr="000E5A31">
        <w:rPr>
          <w:rFonts w:cs="Arial"/>
          <w:szCs w:val="22"/>
          <w:lang w:eastAsia="en-US"/>
        </w:rPr>
        <w:t xml:space="preserve"> und </w:t>
      </w:r>
      <w:r w:rsidR="00714B11" w:rsidRPr="000E5A31">
        <w:rPr>
          <w:rFonts w:cs="Arial"/>
          <w:szCs w:val="22"/>
          <w:lang w:eastAsia="en-US"/>
        </w:rPr>
        <w:t>sozioökonomischer</w:t>
      </w:r>
      <w:r w:rsidRPr="000E5A31">
        <w:rPr>
          <w:rFonts w:cs="Arial"/>
          <w:szCs w:val="22"/>
          <w:lang w:eastAsia="en-US"/>
        </w:rPr>
        <w:t xml:space="preserve"> Themen zur Sprache </w:t>
      </w:r>
      <w:r w:rsidR="000E5A31" w:rsidRPr="000E5A31">
        <w:rPr>
          <w:rFonts w:cs="Arial"/>
          <w:szCs w:val="22"/>
          <w:lang w:eastAsia="en-US"/>
        </w:rPr>
        <w:t>kam</w:t>
      </w:r>
      <w:r w:rsidR="007948B7" w:rsidRPr="000E5A31">
        <w:rPr>
          <w:rFonts w:cs="Arial"/>
          <w:szCs w:val="22"/>
          <w:lang w:eastAsia="en-US"/>
        </w:rPr>
        <w:t>.</w:t>
      </w:r>
    </w:p>
    <w:p w:rsidR="002923E8" w:rsidRPr="000E5A31" w:rsidRDefault="002923E8" w:rsidP="00AF48D8">
      <w:pPr>
        <w:spacing w:after="120"/>
        <w:jc w:val="both"/>
        <w:rPr>
          <w:rFonts w:cs="Arial"/>
          <w:szCs w:val="22"/>
          <w:lang w:eastAsia="en-US"/>
        </w:rPr>
      </w:pPr>
    </w:p>
    <w:p w:rsidR="00415D96" w:rsidRPr="000E5A31" w:rsidRDefault="00497322" w:rsidP="0012743D">
      <w:pPr>
        <w:pStyle w:val="berschrift1"/>
      </w:pPr>
      <w:r w:rsidRPr="000E5A31">
        <w:t>A.</w:t>
      </w:r>
      <w:r w:rsidR="00415D96" w:rsidRPr="000E5A31">
        <w:t>4.</w:t>
      </w:r>
      <w:r w:rsidR="00415D96" w:rsidRPr="000E5A31">
        <w:tab/>
        <w:t>Vorschläge für vom BMZ zu ergreifende Maßnahmen</w:t>
      </w:r>
      <w:bookmarkEnd w:id="7"/>
    </w:p>
    <w:p w:rsidR="00415D96" w:rsidRPr="000E5A31" w:rsidRDefault="00497322" w:rsidP="000C5AD2">
      <w:pPr>
        <w:pStyle w:val="berschrift2"/>
      </w:pPr>
      <w:bookmarkStart w:id="8" w:name="_Toc396989036"/>
      <w:r w:rsidRPr="000E5A31">
        <w:t>A.</w:t>
      </w:r>
      <w:r w:rsidR="00415D96" w:rsidRPr="000E5A31">
        <w:t>4.1</w:t>
      </w:r>
      <w:r w:rsidR="00415D96" w:rsidRPr="000E5A31">
        <w:tab/>
        <w:t>Maßnahmen im Rahmen des Politik- und Schwerpunktdialogs</w:t>
      </w:r>
      <w:bookmarkEnd w:id="8"/>
    </w:p>
    <w:p w:rsidR="00B6253F" w:rsidRPr="000E5A31" w:rsidRDefault="00C47098" w:rsidP="00345DB6">
      <w:pPr>
        <w:spacing w:after="120"/>
      </w:pPr>
      <w:r w:rsidRPr="000E5A31">
        <w:rPr>
          <w:noProof/>
        </w:rPr>
        <w:t>keine</w:t>
      </w:r>
    </w:p>
    <w:p w:rsidR="00415D96" w:rsidRPr="000E5A31" w:rsidRDefault="00497322" w:rsidP="000C5AD2">
      <w:pPr>
        <w:pStyle w:val="berschrift2"/>
      </w:pPr>
      <w:bookmarkStart w:id="9" w:name="_Toc396989037"/>
      <w:r w:rsidRPr="000E5A31">
        <w:t>A.</w:t>
      </w:r>
      <w:r w:rsidR="00415D96" w:rsidRPr="000E5A31">
        <w:t>4.2</w:t>
      </w:r>
      <w:r w:rsidR="00415D96" w:rsidRPr="000E5A31">
        <w:tab/>
        <w:t>Änderungen in der Aufstellung der deutschen EZ</w:t>
      </w:r>
      <w:bookmarkEnd w:id="9"/>
    </w:p>
    <w:p w:rsidR="00B6253F" w:rsidRPr="000E5A31" w:rsidRDefault="00C47098" w:rsidP="00345DB6">
      <w:pPr>
        <w:spacing w:after="120"/>
      </w:pPr>
      <w:r w:rsidRPr="000E5A31">
        <w:rPr>
          <w:noProof/>
        </w:rPr>
        <w:t>keine</w:t>
      </w:r>
    </w:p>
    <w:p w:rsidR="00415D96" w:rsidRPr="000E5A31" w:rsidRDefault="00497322" w:rsidP="0012743D">
      <w:pPr>
        <w:pStyle w:val="berschrift1"/>
      </w:pPr>
      <w:bookmarkStart w:id="10" w:name="_Toc396989038"/>
      <w:r w:rsidRPr="000E5A31">
        <w:t>B.</w:t>
      </w:r>
      <w:r w:rsidR="00415D96" w:rsidRPr="000E5A31">
        <w:t>1.</w:t>
      </w:r>
      <w:r w:rsidR="00415D96" w:rsidRPr="000E5A31">
        <w:tab/>
        <w:t>Kurzbeschreibung</w:t>
      </w:r>
      <w:bookmarkEnd w:id="10"/>
    </w:p>
    <w:p w:rsidR="00B6253F" w:rsidRPr="000E5A31" w:rsidRDefault="00C85B6B" w:rsidP="00345DB6">
      <w:pPr>
        <w:spacing w:after="120"/>
      </w:pPr>
      <w:r w:rsidRPr="000E5A31">
        <w:rPr>
          <w:noProof/>
        </w:rPr>
        <w:fldChar w:fldCharType="begin">
          <w:ffData>
            <w:name w:val=""/>
            <w:enabled/>
            <w:calcOnExit w:val="0"/>
            <w:textInput>
              <w:default w:val="entfällt, da alleinstehende Maßnahme"/>
            </w:textInput>
          </w:ffData>
        </w:fldChar>
      </w:r>
      <w:r w:rsidR="00946502" w:rsidRPr="000E5A31">
        <w:rPr>
          <w:noProof/>
        </w:rPr>
        <w:instrText xml:space="preserve"> FORMTEXT </w:instrText>
      </w:r>
      <w:r w:rsidRPr="000E5A31">
        <w:rPr>
          <w:noProof/>
        </w:rPr>
      </w:r>
      <w:r w:rsidRPr="000E5A31">
        <w:rPr>
          <w:noProof/>
        </w:rPr>
        <w:fldChar w:fldCharType="separate"/>
      </w:r>
      <w:r w:rsidR="00946502" w:rsidRPr="000E5A31">
        <w:rPr>
          <w:noProof/>
        </w:rPr>
        <w:t>entfällt, da alleinstehende Maßnahme</w:t>
      </w:r>
      <w:r w:rsidRPr="000E5A31">
        <w:rPr>
          <w:noProof/>
        </w:rPr>
        <w:fldChar w:fldCharType="end"/>
      </w:r>
    </w:p>
    <w:p w:rsidR="00415D96" w:rsidRPr="000E5A31" w:rsidRDefault="00497322" w:rsidP="0012743D">
      <w:pPr>
        <w:pStyle w:val="berschrift1"/>
      </w:pPr>
      <w:bookmarkStart w:id="11" w:name="_Toc396989039"/>
      <w:r w:rsidRPr="000E5A31">
        <w:lastRenderedPageBreak/>
        <w:t>B.</w:t>
      </w:r>
      <w:r w:rsidR="00415D96" w:rsidRPr="000E5A31">
        <w:t>2.</w:t>
      </w:r>
      <w:r w:rsidR="00415D96" w:rsidRPr="000E5A31">
        <w:tab/>
      </w:r>
      <w:r w:rsidRPr="000E5A31">
        <w:t>Konkrete</w:t>
      </w:r>
      <w:r w:rsidR="00415D96" w:rsidRPr="000E5A31">
        <w:t xml:space="preserve"> Entwicklungen</w:t>
      </w:r>
      <w:r w:rsidRPr="000E5A31">
        <w:t>/Änderungen</w:t>
      </w:r>
      <w:r w:rsidR="00E9178D" w:rsidRPr="000E5A31">
        <w:t xml:space="preserve"> </w:t>
      </w:r>
      <w:r w:rsidRPr="000E5A31">
        <w:t xml:space="preserve">bei </w:t>
      </w:r>
      <w:r w:rsidR="00E9178D" w:rsidRPr="000E5A31">
        <w:t>der TZ-Maßnahme</w:t>
      </w:r>
      <w:bookmarkEnd w:id="11"/>
    </w:p>
    <w:p w:rsidR="00415D96" w:rsidRPr="000E5A31" w:rsidRDefault="00497322" w:rsidP="000C5AD2">
      <w:pPr>
        <w:pStyle w:val="berschrift2"/>
        <w:rPr>
          <w:b/>
          <w:i/>
        </w:rPr>
      </w:pPr>
      <w:bookmarkStart w:id="12" w:name="_Toc396989040"/>
      <w:r w:rsidRPr="000E5A31">
        <w:rPr>
          <w:b/>
          <w:i/>
        </w:rPr>
        <w:t>B.2</w:t>
      </w:r>
      <w:r w:rsidR="00415D96" w:rsidRPr="000E5A31">
        <w:rPr>
          <w:b/>
          <w:i/>
        </w:rPr>
        <w:t>.1</w:t>
      </w:r>
      <w:r w:rsidR="00415D96" w:rsidRPr="000E5A31">
        <w:rPr>
          <w:b/>
          <w:i/>
        </w:rPr>
        <w:tab/>
      </w:r>
      <w:r w:rsidR="00836FF6" w:rsidRPr="000E5A31">
        <w:rPr>
          <w:b/>
          <w:i/>
        </w:rPr>
        <w:t>Gestaltung der TZ-Maßnahme, Partnerleistung, Gesamtkosten, Finanzierung, Zeitplan</w:t>
      </w:r>
      <w:bookmarkEnd w:id="12"/>
    </w:p>
    <w:p w:rsidR="007E2C7B" w:rsidRPr="000E5A31" w:rsidRDefault="007E2C7B" w:rsidP="008F36A4">
      <w:pPr>
        <w:spacing w:after="120"/>
        <w:rPr>
          <w:rFonts w:eastAsia="Calibri" w:cs="Arial"/>
          <w:szCs w:val="22"/>
          <w:lang w:eastAsia="en-US"/>
        </w:rPr>
      </w:pPr>
    </w:p>
    <w:p w:rsidR="007E2C7B" w:rsidRPr="000E5A31" w:rsidRDefault="00115CCE" w:rsidP="008F36A4">
      <w:pPr>
        <w:spacing w:after="120"/>
        <w:rPr>
          <w:rFonts w:eastAsia="Calibri" w:cs="Arial"/>
          <w:szCs w:val="22"/>
          <w:lang w:eastAsia="en-US"/>
        </w:rPr>
      </w:pPr>
      <w:r w:rsidRPr="000E5A31">
        <w:rPr>
          <w:rFonts w:eastAsia="Calibri" w:cs="Arial"/>
          <w:szCs w:val="22"/>
          <w:lang w:eastAsia="en-US"/>
        </w:rPr>
        <w:t xml:space="preserve">Auftragsgemäß konzentrierte sich </w:t>
      </w:r>
      <w:r w:rsidR="007E2C7B" w:rsidRPr="000E5A31">
        <w:rPr>
          <w:rFonts w:eastAsia="Calibri" w:cs="Arial"/>
          <w:szCs w:val="22"/>
          <w:lang w:eastAsia="en-US"/>
        </w:rPr>
        <w:t>RE-ACTIVATE</w:t>
      </w:r>
      <w:r w:rsidRPr="000E5A31">
        <w:rPr>
          <w:rFonts w:eastAsia="Calibri" w:cs="Arial"/>
          <w:szCs w:val="22"/>
          <w:lang w:eastAsia="en-US"/>
        </w:rPr>
        <w:t xml:space="preserve"> </w:t>
      </w:r>
      <w:r w:rsidR="007948B7" w:rsidRPr="000E5A31">
        <w:rPr>
          <w:rFonts w:eastAsia="Calibri" w:cs="Arial"/>
          <w:szCs w:val="22"/>
          <w:lang w:eastAsia="en-US"/>
        </w:rPr>
        <w:t xml:space="preserve">im Berichtszeitraum </w:t>
      </w:r>
      <w:r w:rsidRPr="000E5A31">
        <w:rPr>
          <w:rFonts w:eastAsia="Calibri" w:cs="Arial"/>
          <w:szCs w:val="22"/>
          <w:lang w:eastAsia="en-US"/>
        </w:rPr>
        <w:t xml:space="preserve">auf die </w:t>
      </w:r>
      <w:r w:rsidR="00C85B6B" w:rsidRPr="000E5A31">
        <w:rPr>
          <w:rFonts w:eastAsia="Calibri" w:cs="Arial"/>
          <w:szCs w:val="22"/>
          <w:lang w:eastAsia="en-US"/>
        </w:rPr>
        <w:t>Bearbeitung der Schnittstellen zwischen den Schwerpunktsektoren nachhaltige Energieförderung auf der einen sowie nachhaltige lokale Wirtschafts- und Gesellschaftsentwicklung auf der anderen</w:t>
      </w:r>
      <w:r w:rsidRPr="000E5A31">
        <w:rPr>
          <w:rFonts w:eastAsia="Calibri" w:cs="Arial"/>
          <w:szCs w:val="22"/>
          <w:lang w:eastAsia="en-US"/>
        </w:rPr>
        <w:t xml:space="preserve">, mit dem Ziel, die </w:t>
      </w:r>
      <w:r w:rsidR="007E2C7B" w:rsidRPr="000E5A31">
        <w:rPr>
          <w:rFonts w:eastAsia="Calibri" w:cs="Arial"/>
          <w:szCs w:val="22"/>
          <w:lang w:eastAsia="en-US"/>
        </w:rPr>
        <w:t>Voraussetzungen der Marktentwicklung für beschäftigungsintensive RE/EE-Technologien in MENA verbesser</w:t>
      </w:r>
      <w:r w:rsidRPr="000E5A31">
        <w:rPr>
          <w:rFonts w:eastAsia="Calibri" w:cs="Arial"/>
          <w:szCs w:val="22"/>
          <w:lang w:eastAsia="en-US"/>
        </w:rPr>
        <w:t>n zu helfen (Projektziel). Im Mittelpunkt standen hierbei</w:t>
      </w:r>
      <w:r w:rsidR="00401827" w:rsidRPr="000E5A31">
        <w:rPr>
          <w:rFonts w:eastAsia="Calibri" w:cs="Arial"/>
          <w:szCs w:val="22"/>
          <w:lang w:eastAsia="en-US"/>
        </w:rPr>
        <w:t>:</w:t>
      </w:r>
    </w:p>
    <w:p w:rsidR="007E2C7B" w:rsidRPr="000E5A31" w:rsidRDefault="007E2C7B" w:rsidP="00B2689A">
      <w:pPr>
        <w:numPr>
          <w:ilvl w:val="0"/>
          <w:numId w:val="1"/>
        </w:numPr>
        <w:tabs>
          <w:tab w:val="clear" w:pos="1068"/>
          <w:tab w:val="num" w:pos="851"/>
        </w:tabs>
        <w:spacing w:after="120"/>
        <w:ind w:left="851" w:hanging="284"/>
        <w:rPr>
          <w:rFonts w:eastAsia="Calibri" w:cs="Arial"/>
          <w:szCs w:val="22"/>
          <w:lang w:eastAsia="en-US"/>
        </w:rPr>
      </w:pPr>
      <w:r w:rsidRPr="000E5A31">
        <w:rPr>
          <w:rFonts w:eastAsia="Calibri" w:cs="Arial"/>
          <w:szCs w:val="22"/>
          <w:lang w:eastAsia="en-US"/>
        </w:rPr>
        <w:t>Unterstützung der Identifizierung und Konkretisierung von Potentialen und Chancen für RE/EE</w:t>
      </w:r>
      <w:r w:rsidR="007948B7" w:rsidRPr="000E5A31">
        <w:rPr>
          <w:rFonts w:eastAsia="Calibri" w:cs="Arial"/>
          <w:szCs w:val="22"/>
          <w:lang w:eastAsia="en-US"/>
        </w:rPr>
        <w:t>-</w:t>
      </w:r>
      <w:r w:rsidRPr="000E5A31">
        <w:rPr>
          <w:rFonts w:eastAsia="Calibri" w:cs="Arial"/>
          <w:szCs w:val="22"/>
          <w:lang w:eastAsia="en-US"/>
        </w:rPr>
        <w:t>basierte Wertschöpfung und Beschäftigung</w:t>
      </w:r>
      <w:r w:rsidRPr="00FC0BB3">
        <w:rPr>
          <w:rFonts w:eastAsia="Calibri" w:cs="Arial"/>
          <w:szCs w:val="22"/>
          <w:lang w:eastAsia="en-US"/>
        </w:rPr>
        <w:t xml:space="preserve"> </w:t>
      </w:r>
      <w:r w:rsidRPr="000E5A31">
        <w:rPr>
          <w:rFonts w:eastAsia="Calibri" w:cs="Arial"/>
          <w:szCs w:val="22"/>
          <w:lang w:eastAsia="en-US"/>
        </w:rPr>
        <w:t>in der Region</w:t>
      </w:r>
    </w:p>
    <w:p w:rsidR="007E2C7B" w:rsidRPr="000E5A31" w:rsidRDefault="007E2C7B" w:rsidP="00B2689A">
      <w:pPr>
        <w:numPr>
          <w:ilvl w:val="0"/>
          <w:numId w:val="1"/>
        </w:numPr>
        <w:tabs>
          <w:tab w:val="clear" w:pos="1068"/>
          <w:tab w:val="num" w:pos="851"/>
        </w:tabs>
        <w:spacing w:after="120"/>
        <w:ind w:left="851" w:hanging="284"/>
        <w:rPr>
          <w:rFonts w:eastAsia="Calibri" w:cs="Arial"/>
          <w:szCs w:val="22"/>
          <w:lang w:eastAsia="en-US"/>
        </w:rPr>
      </w:pPr>
      <w:r w:rsidRPr="000E5A31">
        <w:rPr>
          <w:rFonts w:eastAsia="Calibri" w:cs="Arial"/>
          <w:szCs w:val="22"/>
          <w:lang w:eastAsia="en-US"/>
        </w:rPr>
        <w:t>Entwicklung tragfähiger Märkte, Unterstützung privater Investitionen und Stärkung lokaler Teilhabe durch verbesserte Rahmenbedingungen, innovative Förderstrat</w:t>
      </w:r>
      <w:r w:rsidRPr="000E5A31">
        <w:rPr>
          <w:rFonts w:eastAsia="Calibri" w:cs="Arial"/>
          <w:szCs w:val="22"/>
          <w:lang w:eastAsia="en-US"/>
        </w:rPr>
        <w:t>e</w:t>
      </w:r>
      <w:r w:rsidRPr="000E5A31">
        <w:rPr>
          <w:rFonts w:eastAsia="Calibri" w:cs="Arial"/>
          <w:szCs w:val="22"/>
          <w:lang w:eastAsia="en-US"/>
        </w:rPr>
        <w:t>gien und -instrumente, Institution und Capacity Building</w:t>
      </w:r>
    </w:p>
    <w:p w:rsidR="007E2C7B" w:rsidRPr="000E5A31" w:rsidRDefault="007E2C7B" w:rsidP="00B2689A">
      <w:pPr>
        <w:numPr>
          <w:ilvl w:val="0"/>
          <w:numId w:val="1"/>
        </w:numPr>
        <w:tabs>
          <w:tab w:val="clear" w:pos="1068"/>
          <w:tab w:val="num" w:pos="851"/>
        </w:tabs>
        <w:spacing w:after="120"/>
        <w:ind w:left="851" w:hanging="284"/>
        <w:rPr>
          <w:rFonts w:eastAsia="Calibri" w:cs="Arial"/>
          <w:szCs w:val="22"/>
          <w:lang w:eastAsia="en-US"/>
        </w:rPr>
      </w:pPr>
      <w:r w:rsidRPr="000E5A31">
        <w:rPr>
          <w:rFonts w:eastAsia="Calibri" w:cs="Arial"/>
          <w:szCs w:val="22"/>
          <w:lang w:eastAsia="en-US"/>
        </w:rPr>
        <w:t>Fokus auf überdurchschnittlich beschäftigungsintensive RE/EE Technologien und Lösungen: v.a. Energieeffizienz in Verbindung mit dezentraler Erzeugung</w:t>
      </w:r>
    </w:p>
    <w:p w:rsidR="007E2C7B" w:rsidRPr="000E5A31" w:rsidRDefault="007E2C7B" w:rsidP="008F36A4">
      <w:pPr>
        <w:spacing w:after="120"/>
        <w:rPr>
          <w:rFonts w:eastAsia="Calibri" w:cs="Arial"/>
          <w:szCs w:val="22"/>
          <w:lang w:eastAsia="en-US"/>
        </w:rPr>
      </w:pPr>
    </w:p>
    <w:p w:rsidR="00115CCE" w:rsidRPr="000E5A31" w:rsidRDefault="00714B11" w:rsidP="008F36A4">
      <w:pPr>
        <w:spacing w:after="120"/>
        <w:rPr>
          <w:rFonts w:eastAsia="Calibri" w:cs="Arial"/>
          <w:szCs w:val="22"/>
          <w:lang w:eastAsia="en-US"/>
        </w:rPr>
      </w:pPr>
      <w:r w:rsidRPr="000E5A31">
        <w:rPr>
          <w:rFonts w:eastAsia="Calibri" w:cs="Arial"/>
          <w:szCs w:val="22"/>
          <w:lang w:eastAsia="en-US"/>
        </w:rPr>
        <w:t>Auftragsgemäß</w:t>
      </w:r>
      <w:r w:rsidR="00115CCE" w:rsidRPr="000E5A31">
        <w:rPr>
          <w:rFonts w:eastAsia="Calibri" w:cs="Arial"/>
          <w:szCs w:val="22"/>
          <w:lang w:eastAsia="en-US"/>
        </w:rPr>
        <w:t xml:space="preserve"> sollte der Mehrwert von RE-ACTIVATE in der gezielten Unterstützung, E</w:t>
      </w:r>
      <w:r w:rsidR="00115CCE" w:rsidRPr="000E5A31">
        <w:rPr>
          <w:rFonts w:eastAsia="Calibri" w:cs="Arial"/>
          <w:szCs w:val="22"/>
          <w:lang w:eastAsia="en-US"/>
        </w:rPr>
        <w:t>r</w:t>
      </w:r>
      <w:r w:rsidR="00115CCE" w:rsidRPr="000E5A31">
        <w:rPr>
          <w:rFonts w:eastAsia="Calibri" w:cs="Arial"/>
          <w:szCs w:val="22"/>
          <w:lang w:eastAsia="en-US"/>
        </w:rPr>
        <w:t>gänzung und Verstärkung der deutschen EZ in der MENA</w:t>
      </w:r>
      <w:r w:rsidR="00401827" w:rsidRPr="000E5A31">
        <w:rPr>
          <w:rFonts w:eastAsia="Calibri" w:cs="Arial"/>
          <w:szCs w:val="22"/>
          <w:lang w:eastAsia="en-US"/>
        </w:rPr>
        <w:t>-</w:t>
      </w:r>
      <w:r w:rsidR="00115CCE" w:rsidRPr="000E5A31">
        <w:rPr>
          <w:rFonts w:eastAsia="Calibri" w:cs="Arial"/>
          <w:szCs w:val="22"/>
          <w:lang w:eastAsia="en-US"/>
        </w:rPr>
        <w:t xml:space="preserve">Region und insbesondere in den </w:t>
      </w:r>
      <w:r w:rsidR="00A16117" w:rsidRPr="000E5A31">
        <w:rPr>
          <w:rFonts w:eastAsia="Calibri" w:cs="Arial"/>
          <w:szCs w:val="22"/>
          <w:lang w:eastAsia="en-US"/>
        </w:rPr>
        <w:t xml:space="preserve">zunächst </w:t>
      </w:r>
      <w:r w:rsidR="00115CCE" w:rsidRPr="000E5A31">
        <w:rPr>
          <w:rFonts w:eastAsia="Calibri" w:cs="Arial"/>
          <w:szCs w:val="22"/>
          <w:lang w:eastAsia="en-US"/>
        </w:rPr>
        <w:t>4 Fokusländern Marokko, Algerien, Tunesien und Ägypten liegen, mit dem Ziel, die zahlreichen Querverbindungen</w:t>
      </w:r>
      <w:r w:rsidR="002B1456" w:rsidRPr="000E5A31">
        <w:rPr>
          <w:rFonts w:eastAsia="Calibri" w:cs="Arial"/>
          <w:szCs w:val="22"/>
          <w:lang w:eastAsia="en-US"/>
        </w:rPr>
        <w:t xml:space="preserve"> </w:t>
      </w:r>
      <w:r w:rsidR="00115CCE" w:rsidRPr="000E5A31">
        <w:rPr>
          <w:rFonts w:eastAsia="Calibri" w:cs="Arial"/>
          <w:szCs w:val="22"/>
          <w:lang w:eastAsia="en-US"/>
        </w:rPr>
        <w:t>zwischen den Ländern und Sektoren besser nutzbar zu m</w:t>
      </w:r>
      <w:r w:rsidR="00115CCE" w:rsidRPr="000E5A31">
        <w:rPr>
          <w:rFonts w:eastAsia="Calibri" w:cs="Arial"/>
          <w:szCs w:val="22"/>
          <w:lang w:eastAsia="en-US"/>
        </w:rPr>
        <w:t>a</w:t>
      </w:r>
      <w:r w:rsidR="00115CCE" w:rsidRPr="000E5A31">
        <w:rPr>
          <w:rFonts w:eastAsia="Calibri" w:cs="Arial"/>
          <w:szCs w:val="22"/>
          <w:lang w:eastAsia="en-US"/>
        </w:rPr>
        <w:t>chen und dadurch Synergien schaffen zu helfen.</w:t>
      </w:r>
      <w:r w:rsidR="002B1456" w:rsidRPr="000E5A31">
        <w:rPr>
          <w:rFonts w:eastAsia="Calibri" w:cs="Arial"/>
          <w:szCs w:val="22"/>
          <w:lang w:eastAsia="en-US"/>
        </w:rPr>
        <w:t xml:space="preserve"> Ziel war v.a.:</w:t>
      </w:r>
    </w:p>
    <w:p w:rsidR="002B1456" w:rsidRPr="000E5A31" w:rsidRDefault="002B1456" w:rsidP="00B2689A">
      <w:pPr>
        <w:numPr>
          <w:ilvl w:val="0"/>
          <w:numId w:val="1"/>
        </w:numPr>
        <w:tabs>
          <w:tab w:val="clear" w:pos="1068"/>
        </w:tabs>
        <w:spacing w:after="120"/>
        <w:ind w:left="851" w:hanging="284"/>
        <w:rPr>
          <w:rFonts w:eastAsia="Calibri" w:cs="Arial"/>
          <w:szCs w:val="22"/>
          <w:lang w:eastAsia="en-US"/>
        </w:rPr>
      </w:pPr>
      <w:r w:rsidRPr="000E5A31">
        <w:rPr>
          <w:rFonts w:eastAsia="Calibri" w:cs="Arial"/>
          <w:szCs w:val="22"/>
          <w:lang w:eastAsia="en-US"/>
        </w:rPr>
        <w:t>Gezielte Unterstützung des Knowhow-Transfers und der Netzwerkbildung über Lä</w:t>
      </w:r>
      <w:r w:rsidRPr="000E5A31">
        <w:rPr>
          <w:rFonts w:eastAsia="Calibri" w:cs="Arial"/>
          <w:szCs w:val="22"/>
          <w:lang w:eastAsia="en-US"/>
        </w:rPr>
        <w:t>n</w:t>
      </w:r>
      <w:r w:rsidRPr="000E5A31">
        <w:rPr>
          <w:rFonts w:eastAsia="Calibri" w:cs="Arial"/>
          <w:szCs w:val="22"/>
          <w:lang w:eastAsia="en-US"/>
        </w:rPr>
        <w:t>der- und Sektorgrenzen hinweg</w:t>
      </w:r>
    </w:p>
    <w:p w:rsidR="00115CCE" w:rsidRPr="000E5A31" w:rsidRDefault="002B1456" w:rsidP="00B2689A">
      <w:pPr>
        <w:numPr>
          <w:ilvl w:val="0"/>
          <w:numId w:val="1"/>
        </w:numPr>
        <w:tabs>
          <w:tab w:val="clear" w:pos="1068"/>
        </w:tabs>
        <w:spacing w:after="120"/>
        <w:ind w:left="851" w:hanging="284"/>
        <w:rPr>
          <w:rFonts w:eastAsia="Calibri" w:cs="Arial"/>
          <w:szCs w:val="22"/>
          <w:lang w:eastAsia="en-US"/>
        </w:rPr>
      </w:pPr>
      <w:r w:rsidRPr="000E5A31">
        <w:rPr>
          <w:rFonts w:eastAsia="Calibri" w:cs="Arial"/>
          <w:szCs w:val="22"/>
          <w:lang w:eastAsia="en-US"/>
        </w:rPr>
        <w:t>Gezielte Überbrückung von Lücken und Brüchen zwischen Ländern und Sektoren bzw. zwischen den Vorhaben, die in diesen arbeiten</w:t>
      </w:r>
    </w:p>
    <w:p w:rsidR="00115CCE" w:rsidRPr="000E5A31" w:rsidRDefault="00115CCE" w:rsidP="00B2689A">
      <w:pPr>
        <w:numPr>
          <w:ilvl w:val="0"/>
          <w:numId w:val="1"/>
        </w:numPr>
        <w:tabs>
          <w:tab w:val="clear" w:pos="1068"/>
        </w:tabs>
        <w:spacing w:after="120"/>
        <w:ind w:left="851" w:hanging="284"/>
        <w:rPr>
          <w:rFonts w:eastAsia="Calibri" w:cs="Arial"/>
          <w:szCs w:val="22"/>
          <w:lang w:eastAsia="en-US"/>
        </w:rPr>
      </w:pPr>
      <w:r w:rsidRPr="000E5A31">
        <w:rPr>
          <w:rFonts w:eastAsia="Calibri" w:cs="Arial"/>
          <w:szCs w:val="22"/>
          <w:lang w:eastAsia="en-US"/>
        </w:rPr>
        <w:t xml:space="preserve">Optimierung von Hebelwirkungen </w:t>
      </w:r>
      <w:r w:rsidR="002B1456" w:rsidRPr="000E5A31">
        <w:rPr>
          <w:rFonts w:eastAsia="Calibri" w:cs="Arial"/>
          <w:szCs w:val="22"/>
          <w:lang w:eastAsia="en-US"/>
        </w:rPr>
        <w:t xml:space="preserve">der </w:t>
      </w:r>
      <w:r w:rsidR="00215BE4" w:rsidRPr="000E5A31">
        <w:rPr>
          <w:rFonts w:eastAsia="Calibri" w:cs="Arial"/>
          <w:szCs w:val="22"/>
          <w:lang w:eastAsia="en-US"/>
        </w:rPr>
        <w:t>deu</w:t>
      </w:r>
      <w:r w:rsidR="002B1456" w:rsidRPr="000E5A31">
        <w:rPr>
          <w:rFonts w:eastAsia="Calibri" w:cs="Arial"/>
          <w:szCs w:val="22"/>
          <w:lang w:eastAsia="en-US"/>
        </w:rPr>
        <w:t>t</w:t>
      </w:r>
      <w:r w:rsidR="00215BE4" w:rsidRPr="000E5A31">
        <w:rPr>
          <w:rFonts w:eastAsia="Calibri" w:cs="Arial"/>
          <w:szCs w:val="22"/>
          <w:lang w:eastAsia="en-US"/>
        </w:rPr>
        <w:t>s</w:t>
      </w:r>
      <w:r w:rsidR="002B1456" w:rsidRPr="000E5A31">
        <w:rPr>
          <w:rFonts w:eastAsia="Calibri" w:cs="Arial"/>
          <w:szCs w:val="22"/>
          <w:lang w:eastAsia="en-US"/>
        </w:rPr>
        <w:t xml:space="preserve">chen EZ </w:t>
      </w:r>
      <w:r w:rsidRPr="000E5A31">
        <w:rPr>
          <w:rFonts w:eastAsia="Calibri" w:cs="Arial"/>
          <w:szCs w:val="22"/>
          <w:lang w:eastAsia="en-US"/>
        </w:rPr>
        <w:t xml:space="preserve">für </w:t>
      </w:r>
      <w:r w:rsidR="002B1456" w:rsidRPr="000E5A31">
        <w:rPr>
          <w:rFonts w:eastAsia="Calibri" w:cs="Arial"/>
          <w:szCs w:val="22"/>
          <w:lang w:eastAsia="en-US"/>
        </w:rPr>
        <w:t xml:space="preserve">lokale </w:t>
      </w:r>
      <w:r w:rsidRPr="000E5A31">
        <w:rPr>
          <w:rFonts w:eastAsia="Calibri" w:cs="Arial"/>
          <w:szCs w:val="22"/>
          <w:lang w:eastAsia="en-US"/>
        </w:rPr>
        <w:t>Zielgruppen</w:t>
      </w:r>
      <w:r w:rsidR="002B1456" w:rsidRPr="000E5A31">
        <w:rPr>
          <w:rFonts w:eastAsia="Calibri" w:cs="Arial"/>
          <w:szCs w:val="22"/>
          <w:lang w:eastAsia="en-US"/>
        </w:rPr>
        <w:t xml:space="preserve">, </w:t>
      </w:r>
      <w:r w:rsidRPr="000E5A31">
        <w:rPr>
          <w:rFonts w:eastAsia="Calibri" w:cs="Arial"/>
          <w:szCs w:val="22"/>
          <w:lang w:eastAsia="en-US"/>
        </w:rPr>
        <w:t>Red</w:t>
      </w:r>
      <w:r w:rsidRPr="000E5A31">
        <w:rPr>
          <w:rFonts w:eastAsia="Calibri" w:cs="Arial"/>
          <w:szCs w:val="22"/>
          <w:lang w:eastAsia="en-US"/>
        </w:rPr>
        <w:t>u</w:t>
      </w:r>
      <w:r w:rsidRPr="000E5A31">
        <w:rPr>
          <w:rFonts w:eastAsia="Calibri" w:cs="Arial"/>
          <w:szCs w:val="22"/>
          <w:lang w:eastAsia="en-US"/>
        </w:rPr>
        <w:t>zierung von Redundanzgefahren, Verringerung von Transaktionskosten</w:t>
      </w:r>
    </w:p>
    <w:p w:rsidR="00115CCE" w:rsidRPr="000E5A31" w:rsidRDefault="00115CCE" w:rsidP="008F36A4">
      <w:pPr>
        <w:spacing w:after="120"/>
        <w:rPr>
          <w:rFonts w:eastAsia="Calibri" w:cs="Arial"/>
          <w:szCs w:val="22"/>
          <w:lang w:eastAsia="en-US"/>
        </w:rPr>
      </w:pPr>
    </w:p>
    <w:p w:rsidR="008C0C86" w:rsidRPr="000E5A31" w:rsidRDefault="008C0C86" w:rsidP="008F36A4">
      <w:pPr>
        <w:spacing w:after="120"/>
        <w:rPr>
          <w:rFonts w:eastAsia="Calibri" w:cs="Arial"/>
          <w:szCs w:val="22"/>
          <w:lang w:eastAsia="en-US"/>
        </w:rPr>
      </w:pPr>
      <w:r w:rsidRPr="000E5A31">
        <w:rPr>
          <w:rFonts w:eastAsia="Calibri" w:cs="Arial"/>
          <w:szCs w:val="22"/>
          <w:lang w:eastAsia="en-US"/>
        </w:rPr>
        <w:t xml:space="preserve">Folgende </w:t>
      </w:r>
      <w:r w:rsidR="00C85B6B" w:rsidRPr="000E5A31">
        <w:rPr>
          <w:rFonts w:eastAsia="Calibri" w:cs="Arial"/>
          <w:szCs w:val="22"/>
          <w:lang w:eastAsia="en-US"/>
        </w:rPr>
        <w:t>Kernarbeitsprinzipien</w:t>
      </w:r>
      <w:r w:rsidRPr="000E5A31">
        <w:rPr>
          <w:rFonts w:eastAsia="Calibri" w:cs="Arial"/>
          <w:szCs w:val="22"/>
          <w:lang w:eastAsia="en-US"/>
        </w:rPr>
        <w:t xml:space="preserve"> sollten auftragsgemäß diesem Ansatz zugrunde liegen:</w:t>
      </w:r>
    </w:p>
    <w:p w:rsidR="008C0C86" w:rsidRPr="000E5A31" w:rsidRDefault="00C85B6B" w:rsidP="00B2689A">
      <w:pPr>
        <w:numPr>
          <w:ilvl w:val="0"/>
          <w:numId w:val="1"/>
        </w:numPr>
        <w:tabs>
          <w:tab w:val="clear" w:pos="1068"/>
        </w:tabs>
        <w:spacing w:after="120"/>
        <w:ind w:left="851" w:hanging="284"/>
        <w:rPr>
          <w:rFonts w:eastAsia="Calibri" w:cs="Arial"/>
          <w:szCs w:val="22"/>
          <w:lang w:eastAsia="en-US"/>
        </w:rPr>
      </w:pPr>
      <w:r w:rsidRPr="000E5A31">
        <w:rPr>
          <w:rFonts w:eastAsia="Calibri" w:cs="Arial"/>
          <w:szCs w:val="22"/>
          <w:lang w:eastAsia="en-US"/>
        </w:rPr>
        <w:t>Transparenz, Effizienz, Kontextverortung:</w:t>
      </w:r>
      <w:r w:rsidR="008C0C86" w:rsidRPr="000E5A31">
        <w:rPr>
          <w:rFonts w:eastAsia="Calibri" w:cs="Arial"/>
          <w:szCs w:val="22"/>
          <w:lang w:eastAsia="en-US"/>
        </w:rPr>
        <w:t xml:space="preserve"> Anknüpfung an</w:t>
      </w:r>
      <w:r w:rsidR="000E5A31">
        <w:rPr>
          <w:rFonts w:eastAsia="Calibri" w:cs="Arial"/>
          <w:szCs w:val="22"/>
          <w:lang w:eastAsia="en-US"/>
        </w:rPr>
        <w:t xml:space="preserve"> bzw. </w:t>
      </w:r>
      <w:r w:rsidR="008C0C86" w:rsidRPr="000E5A31">
        <w:rPr>
          <w:rFonts w:eastAsia="Calibri" w:cs="Arial"/>
          <w:szCs w:val="22"/>
          <w:lang w:eastAsia="en-US"/>
        </w:rPr>
        <w:t>Aufbau auf Zielen und A</w:t>
      </w:r>
      <w:r w:rsidRPr="000E5A31">
        <w:rPr>
          <w:rFonts w:eastAsia="Calibri" w:cs="Arial"/>
          <w:szCs w:val="22"/>
          <w:lang w:eastAsia="en-US"/>
        </w:rPr>
        <w:t>k</w:t>
      </w:r>
      <w:r w:rsidR="008C0C86" w:rsidRPr="000E5A31">
        <w:rPr>
          <w:rFonts w:eastAsia="Calibri" w:cs="Arial"/>
          <w:szCs w:val="22"/>
          <w:lang w:eastAsia="en-US"/>
        </w:rPr>
        <w:t>tivitäten der MENA Partner plus dort tätiger int</w:t>
      </w:r>
      <w:r w:rsidR="000E5A31">
        <w:rPr>
          <w:rFonts w:eastAsia="Calibri" w:cs="Arial"/>
          <w:szCs w:val="22"/>
          <w:lang w:eastAsia="en-US"/>
        </w:rPr>
        <w:t xml:space="preserve">ernationaler und </w:t>
      </w:r>
      <w:r w:rsidR="008C0C86" w:rsidRPr="000E5A31">
        <w:rPr>
          <w:rFonts w:eastAsia="Calibri" w:cs="Arial"/>
          <w:szCs w:val="22"/>
          <w:lang w:eastAsia="en-US"/>
        </w:rPr>
        <w:t>regionaler A</w:t>
      </w:r>
      <w:r w:rsidR="008C0C86" w:rsidRPr="000E5A31">
        <w:rPr>
          <w:rFonts w:eastAsia="Calibri" w:cs="Arial"/>
          <w:szCs w:val="22"/>
          <w:lang w:eastAsia="en-US"/>
        </w:rPr>
        <w:t>k</w:t>
      </w:r>
      <w:r w:rsidR="008C0C86" w:rsidRPr="000E5A31">
        <w:rPr>
          <w:rFonts w:eastAsia="Calibri" w:cs="Arial"/>
          <w:szCs w:val="22"/>
          <w:lang w:eastAsia="en-US"/>
        </w:rPr>
        <w:t>teure; Good Pra</w:t>
      </w:r>
      <w:r w:rsidRPr="000E5A31">
        <w:rPr>
          <w:rFonts w:eastAsia="Calibri" w:cs="Arial"/>
          <w:szCs w:val="22"/>
          <w:lang w:eastAsia="en-US"/>
        </w:rPr>
        <w:t>c</w:t>
      </w:r>
      <w:r w:rsidR="008C0C86" w:rsidRPr="000E5A31">
        <w:rPr>
          <w:rFonts w:eastAsia="Calibri" w:cs="Arial"/>
          <w:szCs w:val="22"/>
          <w:lang w:eastAsia="en-US"/>
        </w:rPr>
        <w:t xml:space="preserve">tices RE/EE Vorreiter; Stärken </w:t>
      </w:r>
      <w:r w:rsidR="000E5A31">
        <w:rPr>
          <w:rFonts w:eastAsia="Calibri" w:cs="Arial"/>
          <w:szCs w:val="22"/>
          <w:lang w:eastAsia="en-US"/>
        </w:rPr>
        <w:t>und</w:t>
      </w:r>
      <w:r w:rsidR="008C0C86" w:rsidRPr="000E5A31">
        <w:rPr>
          <w:rFonts w:eastAsia="Calibri" w:cs="Arial"/>
          <w:szCs w:val="22"/>
          <w:lang w:eastAsia="en-US"/>
        </w:rPr>
        <w:t xml:space="preserve"> Erfahrungen deutscher Akteure</w:t>
      </w:r>
    </w:p>
    <w:p w:rsidR="008C0C86" w:rsidRPr="000E5A31" w:rsidRDefault="00C85B6B" w:rsidP="00B2689A">
      <w:pPr>
        <w:numPr>
          <w:ilvl w:val="0"/>
          <w:numId w:val="1"/>
        </w:numPr>
        <w:tabs>
          <w:tab w:val="clear" w:pos="1068"/>
        </w:tabs>
        <w:spacing w:after="120"/>
        <w:ind w:left="851" w:hanging="284"/>
        <w:rPr>
          <w:rFonts w:eastAsia="Calibri" w:cs="Arial"/>
          <w:szCs w:val="22"/>
          <w:lang w:eastAsia="en-US"/>
        </w:rPr>
      </w:pPr>
      <w:r w:rsidRPr="000E5A31">
        <w:rPr>
          <w:rFonts w:eastAsia="Calibri" w:cs="Arial"/>
          <w:szCs w:val="22"/>
          <w:lang w:eastAsia="en-US"/>
        </w:rPr>
        <w:t>Offener Ansatz, flexibles Vorgehen:</w:t>
      </w:r>
      <w:r w:rsidR="008C0C86" w:rsidRPr="000E5A31">
        <w:rPr>
          <w:rFonts w:eastAsia="Calibri" w:cs="Arial"/>
          <w:szCs w:val="22"/>
          <w:lang w:eastAsia="en-US"/>
        </w:rPr>
        <w:t xml:space="preserve"> v.a. qualitative, nicht quantitative Ziele; keine Länderziele oder –quoten; Nutzung von Chancen und Potentialen j</w:t>
      </w:r>
      <w:r w:rsidRPr="000E5A31">
        <w:rPr>
          <w:rFonts w:eastAsia="Calibri" w:cs="Arial"/>
          <w:szCs w:val="22"/>
          <w:lang w:eastAsia="en-US"/>
        </w:rPr>
        <w:t>e</w:t>
      </w:r>
      <w:r w:rsidR="008C0C86" w:rsidRPr="000E5A31">
        <w:rPr>
          <w:rFonts w:eastAsia="Calibri" w:cs="Arial"/>
          <w:szCs w:val="22"/>
          <w:lang w:eastAsia="en-US"/>
        </w:rPr>
        <w:t>weils vor Ort</w:t>
      </w:r>
    </w:p>
    <w:p w:rsidR="008C0C86" w:rsidRPr="000E5A31" w:rsidRDefault="00C85B6B" w:rsidP="00B2689A">
      <w:pPr>
        <w:numPr>
          <w:ilvl w:val="0"/>
          <w:numId w:val="1"/>
        </w:numPr>
        <w:tabs>
          <w:tab w:val="clear" w:pos="1068"/>
        </w:tabs>
        <w:spacing w:after="120"/>
        <w:ind w:left="851" w:hanging="284"/>
        <w:rPr>
          <w:rFonts w:eastAsia="Calibri" w:cs="Arial"/>
          <w:szCs w:val="22"/>
          <w:lang w:eastAsia="en-US"/>
        </w:rPr>
      </w:pPr>
      <w:r w:rsidRPr="000E5A31">
        <w:rPr>
          <w:rFonts w:eastAsia="Calibri" w:cs="Arial"/>
          <w:szCs w:val="22"/>
          <w:lang w:eastAsia="en-US"/>
        </w:rPr>
        <w:lastRenderedPageBreak/>
        <w:t>Dezentrale Struktur, kein politischer Träger:</w:t>
      </w:r>
      <w:r w:rsidR="008C0C86" w:rsidRPr="000E5A31">
        <w:rPr>
          <w:rFonts w:eastAsia="Calibri" w:cs="Arial"/>
          <w:szCs w:val="22"/>
          <w:lang w:eastAsia="en-US"/>
        </w:rPr>
        <w:t xml:space="preserve"> Steuerung von Rabat aus, unte</w:t>
      </w:r>
      <w:r w:rsidRPr="000E5A31">
        <w:rPr>
          <w:rFonts w:eastAsia="Calibri" w:cs="Arial"/>
          <w:szCs w:val="22"/>
          <w:lang w:eastAsia="en-US"/>
        </w:rPr>
        <w:t>r</w:t>
      </w:r>
      <w:r w:rsidR="008C0C86" w:rsidRPr="000E5A31">
        <w:rPr>
          <w:rFonts w:eastAsia="Calibri" w:cs="Arial"/>
          <w:szCs w:val="22"/>
          <w:lang w:eastAsia="en-US"/>
        </w:rPr>
        <w:t xml:space="preserve">stützt durch Teams in den Partnerländern und DEU; enge An- und Einbindung in den Landeskontext und </w:t>
      </w:r>
      <w:r w:rsidR="000E5A31">
        <w:rPr>
          <w:rFonts w:eastAsia="Calibri" w:cs="Arial"/>
          <w:szCs w:val="22"/>
          <w:lang w:eastAsia="en-US"/>
        </w:rPr>
        <w:t xml:space="preserve">in </w:t>
      </w:r>
      <w:r w:rsidR="008C0C86" w:rsidRPr="000E5A31">
        <w:rPr>
          <w:rFonts w:eastAsia="Calibri" w:cs="Arial"/>
          <w:szCs w:val="22"/>
          <w:lang w:eastAsia="en-US"/>
        </w:rPr>
        <w:t>die Außenstruktur</w:t>
      </w:r>
    </w:p>
    <w:p w:rsidR="008C0C86" w:rsidRPr="000E5A31" w:rsidRDefault="00C85B6B" w:rsidP="00B2689A">
      <w:pPr>
        <w:numPr>
          <w:ilvl w:val="0"/>
          <w:numId w:val="1"/>
        </w:numPr>
        <w:tabs>
          <w:tab w:val="clear" w:pos="1068"/>
        </w:tabs>
        <w:spacing w:after="120"/>
        <w:ind w:left="851" w:hanging="284"/>
        <w:rPr>
          <w:rFonts w:eastAsia="Calibri" w:cs="Arial"/>
          <w:szCs w:val="22"/>
          <w:u w:val="single"/>
          <w:lang w:eastAsia="en-US"/>
        </w:rPr>
      </w:pPr>
      <w:r w:rsidRPr="000E5A31">
        <w:rPr>
          <w:rFonts w:eastAsia="Calibri" w:cs="Arial"/>
          <w:szCs w:val="22"/>
          <w:lang w:eastAsia="en-US"/>
        </w:rPr>
        <w:t>Bottom-up Prinzip, Subsidiarität, Komplementarität:</w:t>
      </w:r>
      <w:r w:rsidR="008C0C86" w:rsidRPr="000E5A31">
        <w:rPr>
          <w:rFonts w:eastAsia="Calibri" w:cs="Arial"/>
          <w:szCs w:val="22"/>
          <w:lang w:eastAsia="en-US"/>
        </w:rPr>
        <w:t xml:space="preserve"> Nutzung (wo immer mö</w:t>
      </w:r>
      <w:r w:rsidRPr="000E5A31">
        <w:rPr>
          <w:rFonts w:eastAsia="Calibri" w:cs="Arial"/>
          <w:szCs w:val="22"/>
          <w:lang w:eastAsia="en-US"/>
        </w:rPr>
        <w:t>g</w:t>
      </w:r>
      <w:r w:rsidR="008C0C86" w:rsidRPr="000E5A31">
        <w:rPr>
          <w:rFonts w:eastAsia="Calibri" w:cs="Arial"/>
          <w:szCs w:val="22"/>
          <w:lang w:eastAsia="en-US"/>
        </w:rPr>
        <w:t>lich) von Vorort-Ressourcen und Erfahrungen; Hauptansprechpartner sind die GIZ bzw. EZ Vorhaben sowie deren Partner in MENA</w:t>
      </w:r>
    </w:p>
    <w:p w:rsidR="00C47098" w:rsidRPr="000E5A31" w:rsidRDefault="00C47098" w:rsidP="008F36A4">
      <w:pPr>
        <w:spacing w:after="120"/>
        <w:rPr>
          <w:rFonts w:eastAsia="Calibri" w:cs="Arial"/>
          <w:szCs w:val="22"/>
          <w:lang w:eastAsia="en-US"/>
        </w:rPr>
      </w:pPr>
    </w:p>
    <w:p w:rsidR="007E2C7B" w:rsidRPr="000E5A31" w:rsidRDefault="00115CCE" w:rsidP="008F36A4">
      <w:pPr>
        <w:spacing w:after="120"/>
        <w:rPr>
          <w:rFonts w:eastAsia="Calibri" w:cs="Arial"/>
          <w:szCs w:val="22"/>
          <w:lang w:eastAsia="en-US"/>
        </w:rPr>
      </w:pPr>
      <w:r w:rsidRPr="000E5A31">
        <w:rPr>
          <w:rFonts w:eastAsia="Calibri" w:cs="Arial"/>
          <w:szCs w:val="22"/>
          <w:lang w:eastAsia="en-US"/>
        </w:rPr>
        <w:t xml:space="preserve">Um die genauen Bedarfe </w:t>
      </w:r>
      <w:r w:rsidR="002B1456" w:rsidRPr="000E5A31">
        <w:rPr>
          <w:rFonts w:eastAsia="Calibri" w:cs="Arial"/>
          <w:szCs w:val="22"/>
          <w:lang w:eastAsia="en-US"/>
        </w:rPr>
        <w:t>der Zielgruppen und Ansprechpartner zu ermitteln, wurde</w:t>
      </w:r>
      <w:r w:rsidR="00401827" w:rsidRPr="000E5A31">
        <w:rPr>
          <w:rFonts w:eastAsia="Calibri" w:cs="Arial"/>
          <w:szCs w:val="22"/>
          <w:lang w:eastAsia="en-US"/>
        </w:rPr>
        <w:t xml:space="preserve"> beim Projektstart im </w:t>
      </w:r>
      <w:r w:rsidR="00C47098" w:rsidRPr="000E5A31">
        <w:rPr>
          <w:rFonts w:eastAsia="Calibri" w:cs="Arial"/>
          <w:szCs w:val="22"/>
          <w:lang w:eastAsia="en-US"/>
        </w:rPr>
        <w:t>März</w:t>
      </w:r>
      <w:r w:rsidR="00401827" w:rsidRPr="000E5A31">
        <w:rPr>
          <w:rFonts w:eastAsia="Calibri" w:cs="Arial"/>
          <w:szCs w:val="22"/>
          <w:lang w:eastAsia="en-US"/>
        </w:rPr>
        <w:t xml:space="preserve"> 2014</w:t>
      </w:r>
      <w:r w:rsidR="002B1456" w:rsidRPr="000E5A31">
        <w:rPr>
          <w:rFonts w:eastAsia="Calibri" w:cs="Arial"/>
          <w:szCs w:val="22"/>
          <w:lang w:eastAsia="en-US"/>
        </w:rPr>
        <w:t xml:space="preserve"> damit begonnen, systematisch </w:t>
      </w:r>
      <w:r w:rsidR="00C85B6B" w:rsidRPr="000E5A31">
        <w:rPr>
          <w:rFonts w:eastAsia="Calibri" w:cs="Arial"/>
          <w:szCs w:val="22"/>
          <w:lang w:eastAsia="en-US"/>
        </w:rPr>
        <w:t>Abstimmungsgespräche</w:t>
      </w:r>
      <w:r w:rsidR="002B1456" w:rsidRPr="000E5A31">
        <w:rPr>
          <w:rFonts w:eastAsia="Calibri" w:cs="Arial"/>
          <w:szCs w:val="22"/>
          <w:lang w:eastAsia="en-US"/>
        </w:rPr>
        <w:t xml:space="preserve"> mit de</w:t>
      </w:r>
      <w:r w:rsidR="008C0C86" w:rsidRPr="000E5A31">
        <w:rPr>
          <w:rFonts w:eastAsia="Calibri" w:cs="Arial"/>
          <w:szCs w:val="22"/>
          <w:lang w:eastAsia="en-US"/>
        </w:rPr>
        <w:t>n</w:t>
      </w:r>
      <w:r w:rsidR="002B1456" w:rsidRPr="000E5A31">
        <w:rPr>
          <w:rFonts w:eastAsia="Calibri" w:cs="Arial"/>
          <w:szCs w:val="22"/>
          <w:lang w:eastAsia="en-US"/>
        </w:rPr>
        <w:t xml:space="preserve"> relevanten GIZ/EZ Projekte</w:t>
      </w:r>
      <w:r w:rsidR="00FC0BB3">
        <w:rPr>
          <w:rFonts w:eastAsia="Calibri" w:cs="Arial"/>
          <w:szCs w:val="22"/>
          <w:lang w:eastAsia="en-US"/>
        </w:rPr>
        <w:t>n</w:t>
      </w:r>
      <w:r w:rsidR="002B1456" w:rsidRPr="000E5A31">
        <w:rPr>
          <w:rFonts w:eastAsia="Calibri" w:cs="Arial"/>
          <w:szCs w:val="22"/>
          <w:lang w:eastAsia="en-US"/>
        </w:rPr>
        <w:t xml:space="preserve"> in der Reg</w:t>
      </w:r>
      <w:r w:rsidR="00A16117" w:rsidRPr="000E5A31">
        <w:rPr>
          <w:rFonts w:eastAsia="Calibri" w:cs="Arial"/>
          <w:szCs w:val="22"/>
          <w:lang w:eastAsia="en-US"/>
        </w:rPr>
        <w:t>ion und im Inland durchzuführen</w:t>
      </w:r>
      <w:r w:rsidR="002B1456" w:rsidRPr="000E5A31">
        <w:rPr>
          <w:rFonts w:eastAsia="Calibri" w:cs="Arial"/>
          <w:szCs w:val="22"/>
          <w:lang w:eastAsia="en-US"/>
        </w:rPr>
        <w:t xml:space="preserve">. Da </w:t>
      </w:r>
      <w:r w:rsidR="008C0C86" w:rsidRPr="000E5A31">
        <w:rPr>
          <w:rFonts w:eastAsia="Calibri" w:cs="Arial"/>
          <w:szCs w:val="22"/>
          <w:lang w:eastAsia="en-US"/>
        </w:rPr>
        <w:t xml:space="preserve">das Vorhaben </w:t>
      </w:r>
      <w:r w:rsidR="002B1456" w:rsidRPr="000E5A31">
        <w:rPr>
          <w:rFonts w:eastAsia="Calibri" w:cs="Arial"/>
          <w:szCs w:val="22"/>
          <w:lang w:eastAsia="en-US"/>
        </w:rPr>
        <w:t>über keinen politischen Träger und kein gemeinsam abgestimmtes Arbeitsprogramm verfügt, ist eine solche systematische Abstimmung von zentraler Bedeutung für die erfolgreiche U</w:t>
      </w:r>
      <w:r w:rsidR="002B1456" w:rsidRPr="000E5A31">
        <w:rPr>
          <w:rFonts w:eastAsia="Calibri" w:cs="Arial"/>
          <w:szCs w:val="22"/>
          <w:lang w:eastAsia="en-US"/>
        </w:rPr>
        <w:t>m</w:t>
      </w:r>
      <w:r w:rsidR="002B1456" w:rsidRPr="000E5A31">
        <w:rPr>
          <w:rFonts w:eastAsia="Calibri" w:cs="Arial"/>
          <w:szCs w:val="22"/>
          <w:lang w:eastAsia="en-US"/>
        </w:rPr>
        <w:t>setzung des Vorhabens. Es konnte rasch Übereinstimmung über d</w:t>
      </w:r>
      <w:r w:rsidR="008C0C86" w:rsidRPr="000E5A31">
        <w:rPr>
          <w:rFonts w:eastAsia="Calibri" w:cs="Arial"/>
          <w:szCs w:val="22"/>
          <w:lang w:eastAsia="en-US"/>
        </w:rPr>
        <w:t xml:space="preserve">ie Hauptarbeitsfelder </w:t>
      </w:r>
      <w:r w:rsidR="002B1456" w:rsidRPr="000E5A31">
        <w:rPr>
          <w:rFonts w:eastAsia="Calibri" w:cs="Arial"/>
          <w:szCs w:val="22"/>
          <w:lang w:eastAsia="en-US"/>
        </w:rPr>
        <w:t>von RE-</w:t>
      </w:r>
      <w:r w:rsidR="00FC0BB3" w:rsidRPr="000E5A31">
        <w:rPr>
          <w:rFonts w:eastAsia="Calibri" w:cs="Arial"/>
          <w:szCs w:val="22"/>
          <w:lang w:eastAsia="en-US"/>
        </w:rPr>
        <w:t xml:space="preserve">ACTIVATE </w:t>
      </w:r>
      <w:r w:rsidR="002B1456" w:rsidRPr="000E5A31">
        <w:rPr>
          <w:rFonts w:eastAsia="Calibri" w:cs="Arial"/>
          <w:szCs w:val="22"/>
          <w:lang w:eastAsia="en-US"/>
        </w:rPr>
        <w:t xml:space="preserve">sowie über </w:t>
      </w:r>
      <w:r w:rsidR="00A16117" w:rsidRPr="000E5A31">
        <w:rPr>
          <w:rFonts w:eastAsia="Calibri" w:cs="Arial"/>
          <w:szCs w:val="22"/>
          <w:lang w:eastAsia="en-US"/>
        </w:rPr>
        <w:t xml:space="preserve">geeignete </w:t>
      </w:r>
      <w:r w:rsidR="002B1456" w:rsidRPr="000E5A31">
        <w:rPr>
          <w:rFonts w:eastAsia="Calibri" w:cs="Arial"/>
          <w:szCs w:val="22"/>
          <w:lang w:eastAsia="en-US"/>
        </w:rPr>
        <w:t xml:space="preserve">Kooperationspotentiale und </w:t>
      </w:r>
      <w:r w:rsidR="00401827" w:rsidRPr="000E5A31">
        <w:rPr>
          <w:rFonts w:eastAsia="Calibri" w:cs="Arial"/>
          <w:szCs w:val="22"/>
          <w:lang w:eastAsia="en-US"/>
        </w:rPr>
        <w:t>-</w:t>
      </w:r>
      <w:r w:rsidR="002B1456" w:rsidRPr="000E5A31">
        <w:rPr>
          <w:rFonts w:eastAsia="Calibri" w:cs="Arial"/>
          <w:szCs w:val="22"/>
          <w:lang w:eastAsia="en-US"/>
        </w:rPr>
        <w:t>formate mit den anderen Vorhaben und</w:t>
      </w:r>
      <w:r w:rsidR="00A16117" w:rsidRPr="000E5A31">
        <w:rPr>
          <w:rFonts w:eastAsia="Calibri" w:cs="Arial"/>
          <w:szCs w:val="22"/>
          <w:lang w:eastAsia="en-US"/>
        </w:rPr>
        <w:t xml:space="preserve"> deren Partnern erzielt werden.</w:t>
      </w:r>
    </w:p>
    <w:p w:rsidR="007E2C7B" w:rsidRPr="000E5A31" w:rsidRDefault="007E2C7B" w:rsidP="008F36A4">
      <w:pPr>
        <w:spacing w:after="120"/>
        <w:rPr>
          <w:rFonts w:eastAsia="Calibri" w:cs="Arial"/>
          <w:szCs w:val="22"/>
          <w:lang w:eastAsia="en-US"/>
        </w:rPr>
      </w:pPr>
      <w:r w:rsidRPr="000E5A31">
        <w:rPr>
          <w:rFonts w:eastAsia="Calibri" w:cs="Arial"/>
          <w:szCs w:val="22"/>
          <w:lang w:eastAsia="en-US"/>
        </w:rPr>
        <w:t xml:space="preserve">Die </w:t>
      </w:r>
      <w:r w:rsidR="00061E6A" w:rsidRPr="000E5A31">
        <w:rPr>
          <w:rFonts w:eastAsia="Calibri" w:cs="Arial"/>
          <w:szCs w:val="22"/>
          <w:lang w:eastAsia="en-US"/>
        </w:rPr>
        <w:t xml:space="preserve">dabei empfangenen </w:t>
      </w:r>
      <w:r w:rsidR="00C85B6B" w:rsidRPr="000E5A31">
        <w:rPr>
          <w:rFonts w:eastAsia="Calibri" w:cs="Arial"/>
          <w:szCs w:val="22"/>
          <w:lang w:eastAsia="en-US"/>
        </w:rPr>
        <w:t>Rückmeldungen</w:t>
      </w:r>
      <w:r w:rsidRPr="000E5A31">
        <w:rPr>
          <w:rFonts w:eastAsia="Calibri" w:cs="Arial"/>
          <w:szCs w:val="22"/>
          <w:lang w:eastAsia="en-US"/>
        </w:rPr>
        <w:t xml:space="preserve"> lassen sich in 3 Punkten zusammenfassen:</w:t>
      </w:r>
    </w:p>
    <w:p w:rsidR="007E2C7B" w:rsidRPr="000E5A31" w:rsidRDefault="00C85B6B" w:rsidP="00B2689A">
      <w:pPr>
        <w:numPr>
          <w:ilvl w:val="0"/>
          <w:numId w:val="2"/>
        </w:numPr>
        <w:spacing w:after="120"/>
        <w:ind w:left="851" w:hanging="284"/>
        <w:contextualSpacing/>
        <w:rPr>
          <w:rFonts w:eastAsia="Calibri" w:cs="Arial"/>
          <w:szCs w:val="22"/>
          <w:lang w:eastAsia="en-US"/>
        </w:rPr>
      </w:pPr>
      <w:r w:rsidRPr="000E5A31">
        <w:rPr>
          <w:rFonts w:eastAsia="Calibri" w:cs="Arial"/>
          <w:szCs w:val="22"/>
          <w:lang w:eastAsia="en-US"/>
        </w:rPr>
        <w:t xml:space="preserve">RE-ACTIVATE unterstützt den Politik- und Stakeholderdialog sowie die Wissens- </w:t>
      </w:r>
      <w:r w:rsidR="00401827" w:rsidRPr="000E5A31">
        <w:rPr>
          <w:rFonts w:eastAsia="Calibri" w:cs="Arial"/>
          <w:szCs w:val="22"/>
          <w:lang w:eastAsia="en-US"/>
        </w:rPr>
        <w:t>und</w:t>
      </w:r>
      <w:r w:rsidRPr="000E5A31">
        <w:rPr>
          <w:rFonts w:eastAsia="Calibri" w:cs="Arial"/>
          <w:szCs w:val="22"/>
          <w:lang w:eastAsia="en-US"/>
        </w:rPr>
        <w:t xml:space="preserve"> Strategieentwicklung:</w:t>
      </w:r>
      <w:r w:rsidR="007E2C7B" w:rsidRPr="000E5A31">
        <w:rPr>
          <w:rFonts w:eastAsia="Calibri" w:cs="Arial"/>
          <w:szCs w:val="22"/>
          <w:lang w:eastAsia="en-US"/>
        </w:rPr>
        <w:t xml:space="preserve"> Versorgung mit präzisen, anwendungsorientierten Hinte</w:t>
      </w:r>
      <w:r w:rsidR="007E2C7B" w:rsidRPr="000E5A31">
        <w:rPr>
          <w:rFonts w:eastAsia="Calibri" w:cs="Arial"/>
          <w:szCs w:val="22"/>
          <w:lang w:eastAsia="en-US"/>
        </w:rPr>
        <w:t>r</w:t>
      </w:r>
      <w:r w:rsidR="007E2C7B" w:rsidRPr="000E5A31">
        <w:rPr>
          <w:rFonts w:eastAsia="Calibri" w:cs="Arial"/>
          <w:szCs w:val="22"/>
          <w:lang w:eastAsia="en-US"/>
        </w:rPr>
        <w:t>grundinformationen, Handlungskonzepten, Lösungsstrategien, v.a. mit Blick auf grundlegende Zusammenhänge zwischen Energie und Wirtschaft sowie Möglichke</w:t>
      </w:r>
      <w:r w:rsidR="007E2C7B" w:rsidRPr="000E5A31">
        <w:rPr>
          <w:rFonts w:eastAsia="Calibri" w:cs="Arial"/>
          <w:szCs w:val="22"/>
          <w:lang w:eastAsia="en-US"/>
        </w:rPr>
        <w:t>i</w:t>
      </w:r>
      <w:r w:rsidR="007E2C7B" w:rsidRPr="000E5A31">
        <w:rPr>
          <w:rFonts w:eastAsia="Calibri" w:cs="Arial"/>
          <w:szCs w:val="22"/>
          <w:lang w:eastAsia="en-US"/>
        </w:rPr>
        <w:t>ten zur Maximierung lokaler Beschäftigungswirkungen nachhaltiger Energien</w:t>
      </w:r>
    </w:p>
    <w:p w:rsidR="007E2C7B" w:rsidRPr="000E5A31" w:rsidRDefault="007E2C7B" w:rsidP="00F63756">
      <w:pPr>
        <w:spacing w:after="120"/>
        <w:ind w:left="851" w:hanging="284"/>
        <w:contextualSpacing/>
        <w:rPr>
          <w:rFonts w:eastAsia="Calibri" w:cs="Arial"/>
          <w:szCs w:val="22"/>
          <w:lang w:eastAsia="en-US"/>
        </w:rPr>
      </w:pPr>
    </w:p>
    <w:p w:rsidR="007E2C7B" w:rsidRPr="000E5A31" w:rsidRDefault="00C85B6B" w:rsidP="00B2689A">
      <w:pPr>
        <w:numPr>
          <w:ilvl w:val="0"/>
          <w:numId w:val="2"/>
        </w:numPr>
        <w:spacing w:after="120"/>
        <w:ind w:left="851" w:hanging="284"/>
        <w:contextualSpacing/>
        <w:rPr>
          <w:rFonts w:eastAsia="Calibri" w:cs="Arial"/>
          <w:szCs w:val="22"/>
          <w:lang w:eastAsia="en-US"/>
        </w:rPr>
      </w:pPr>
      <w:r w:rsidRPr="000E5A31">
        <w:rPr>
          <w:rFonts w:eastAsia="Calibri" w:cs="Arial"/>
          <w:szCs w:val="22"/>
          <w:lang w:eastAsia="en-US"/>
        </w:rPr>
        <w:t>RE-ACTIVATE unterstützt den Wissens- und Erfahrungsaustausch zu geeigneten Rahmenbedingungen und Förderinstrumenten:</w:t>
      </w:r>
      <w:r w:rsidR="007E2C7B" w:rsidRPr="000E5A31">
        <w:rPr>
          <w:rFonts w:eastAsia="Calibri" w:cs="Arial"/>
          <w:szCs w:val="22"/>
          <w:lang w:eastAsia="en-US"/>
        </w:rPr>
        <w:t xml:space="preserve"> Unterstützung der Arbeit in den ei</w:t>
      </w:r>
      <w:r w:rsidR="007E2C7B" w:rsidRPr="000E5A31">
        <w:rPr>
          <w:rFonts w:eastAsia="Calibri" w:cs="Arial"/>
          <w:szCs w:val="22"/>
          <w:lang w:eastAsia="en-US"/>
        </w:rPr>
        <w:t>n</w:t>
      </w:r>
      <w:r w:rsidR="007E2C7B" w:rsidRPr="000E5A31">
        <w:rPr>
          <w:rFonts w:eastAsia="Calibri" w:cs="Arial"/>
          <w:szCs w:val="22"/>
          <w:lang w:eastAsia="en-US"/>
        </w:rPr>
        <w:t>zelnen Partnerländern und Kooperationsfeldern via Bereitstellung von länder- und sektorüber</w:t>
      </w:r>
      <w:r w:rsidR="00D9512D" w:rsidRPr="000E5A31">
        <w:rPr>
          <w:rFonts w:eastAsia="Calibri" w:cs="Arial"/>
          <w:szCs w:val="22"/>
          <w:lang w:eastAsia="en-US"/>
        </w:rPr>
        <w:t>greif</w:t>
      </w:r>
      <w:r w:rsidR="007E2C7B" w:rsidRPr="000E5A31">
        <w:rPr>
          <w:rFonts w:eastAsia="Calibri" w:cs="Arial"/>
          <w:szCs w:val="22"/>
          <w:lang w:eastAsia="en-US"/>
        </w:rPr>
        <w:t>enden Vernetzungs</w:t>
      </w:r>
      <w:r w:rsidR="00D9512D" w:rsidRPr="000E5A31">
        <w:rPr>
          <w:rFonts w:eastAsia="Calibri" w:cs="Arial"/>
          <w:szCs w:val="22"/>
          <w:lang w:eastAsia="en-US"/>
        </w:rPr>
        <w:t xml:space="preserve">leistungen und </w:t>
      </w:r>
      <w:r w:rsidR="00991426" w:rsidRPr="000E5A31">
        <w:rPr>
          <w:rFonts w:eastAsia="Calibri" w:cs="Arial"/>
          <w:szCs w:val="22"/>
          <w:lang w:eastAsia="en-US"/>
        </w:rPr>
        <w:t>Austauschaktivitäten</w:t>
      </w:r>
    </w:p>
    <w:p w:rsidR="007E2C7B" w:rsidRPr="000E5A31" w:rsidRDefault="007E2C7B" w:rsidP="00F63756">
      <w:pPr>
        <w:spacing w:after="120"/>
        <w:ind w:left="851" w:hanging="284"/>
        <w:contextualSpacing/>
        <w:rPr>
          <w:rFonts w:eastAsia="Calibri" w:cs="Arial"/>
          <w:szCs w:val="22"/>
          <w:lang w:eastAsia="en-US"/>
        </w:rPr>
      </w:pPr>
    </w:p>
    <w:p w:rsidR="007E2C7B" w:rsidRPr="000E5A31" w:rsidRDefault="00C85B6B" w:rsidP="00B2689A">
      <w:pPr>
        <w:numPr>
          <w:ilvl w:val="0"/>
          <w:numId w:val="2"/>
        </w:numPr>
        <w:spacing w:after="120"/>
        <w:ind w:left="851" w:hanging="284"/>
        <w:contextualSpacing/>
        <w:rPr>
          <w:rFonts w:eastAsia="Calibri" w:cs="Arial"/>
          <w:szCs w:val="22"/>
          <w:lang w:eastAsia="en-US"/>
        </w:rPr>
      </w:pPr>
      <w:r w:rsidRPr="000E5A31">
        <w:rPr>
          <w:rFonts w:eastAsia="Calibri" w:cs="Arial"/>
          <w:szCs w:val="22"/>
          <w:lang w:eastAsia="en-US"/>
        </w:rPr>
        <w:t>RE-ACTIVATE unterstützt Capacity und ggf. auch Institution Building in MENA:</w:t>
      </w:r>
      <w:r w:rsidR="007E2C7B" w:rsidRPr="000E5A31">
        <w:rPr>
          <w:rFonts w:eastAsia="Calibri" w:cs="Arial"/>
          <w:b/>
          <w:szCs w:val="22"/>
          <w:lang w:eastAsia="en-US"/>
        </w:rPr>
        <w:t xml:space="preserve"> </w:t>
      </w:r>
      <w:r w:rsidR="007E2C7B" w:rsidRPr="000E5A31">
        <w:rPr>
          <w:rFonts w:eastAsia="Calibri" w:cs="Arial"/>
          <w:szCs w:val="22"/>
          <w:lang w:eastAsia="en-US"/>
        </w:rPr>
        <w:t>U</w:t>
      </w:r>
      <w:r w:rsidR="007E2C7B" w:rsidRPr="000E5A31">
        <w:rPr>
          <w:rFonts w:eastAsia="Calibri" w:cs="Arial"/>
          <w:szCs w:val="22"/>
          <w:lang w:eastAsia="en-US"/>
        </w:rPr>
        <w:t>n</w:t>
      </w:r>
      <w:r w:rsidR="007E2C7B" w:rsidRPr="000E5A31">
        <w:rPr>
          <w:rFonts w:eastAsia="Calibri" w:cs="Arial"/>
          <w:szCs w:val="22"/>
          <w:lang w:eastAsia="en-US"/>
        </w:rPr>
        <w:t>terstützung bei der Entwicklung der lokalen Privatwirtschaft, öffentlichen Einrichtu</w:t>
      </w:r>
      <w:r w:rsidR="007E2C7B" w:rsidRPr="000E5A31">
        <w:rPr>
          <w:rFonts w:eastAsia="Calibri" w:cs="Arial"/>
          <w:szCs w:val="22"/>
          <w:lang w:eastAsia="en-US"/>
        </w:rPr>
        <w:t>n</w:t>
      </w:r>
      <w:r w:rsidR="007E2C7B" w:rsidRPr="000E5A31">
        <w:rPr>
          <w:rFonts w:eastAsia="Calibri" w:cs="Arial"/>
          <w:szCs w:val="22"/>
          <w:lang w:eastAsia="en-US"/>
        </w:rPr>
        <w:t>gen und Ausbildungsinstitutionen mit Hilfe bzw. auf der Basis von RE/EE</w:t>
      </w:r>
    </w:p>
    <w:p w:rsidR="007E2C7B" w:rsidRPr="000E5A31" w:rsidRDefault="007E2C7B" w:rsidP="008F36A4">
      <w:pPr>
        <w:spacing w:after="120"/>
        <w:rPr>
          <w:rFonts w:eastAsia="Calibri" w:cs="Arial"/>
          <w:szCs w:val="22"/>
          <w:lang w:eastAsia="en-US"/>
        </w:rPr>
      </w:pPr>
    </w:p>
    <w:p w:rsidR="00486604" w:rsidRPr="000E5A31" w:rsidRDefault="009954D6" w:rsidP="008F36A4">
      <w:pPr>
        <w:spacing w:after="120"/>
        <w:rPr>
          <w:rFonts w:eastAsia="Calibri" w:cs="Arial"/>
          <w:szCs w:val="22"/>
          <w:lang w:eastAsia="en-US"/>
        </w:rPr>
      </w:pPr>
      <w:r w:rsidRPr="000E5A31">
        <w:rPr>
          <w:rFonts w:eastAsia="Calibri" w:cs="Arial"/>
          <w:szCs w:val="22"/>
          <w:lang w:eastAsia="en-US"/>
        </w:rPr>
        <w:t xml:space="preserve">Um die </w:t>
      </w:r>
      <w:r w:rsidR="007F49F8" w:rsidRPr="000E5A31">
        <w:rPr>
          <w:rFonts w:eastAsia="Calibri" w:cs="Arial"/>
          <w:szCs w:val="22"/>
          <w:lang w:eastAsia="en-US"/>
        </w:rPr>
        <w:t xml:space="preserve">vorgegebenen </w:t>
      </w:r>
      <w:r w:rsidRPr="000E5A31">
        <w:rPr>
          <w:rFonts w:eastAsia="Calibri" w:cs="Arial"/>
          <w:szCs w:val="22"/>
          <w:lang w:eastAsia="en-US"/>
        </w:rPr>
        <w:t>Ziel</w:t>
      </w:r>
      <w:r w:rsidR="007F49F8" w:rsidRPr="000E5A31">
        <w:rPr>
          <w:rFonts w:eastAsia="Calibri" w:cs="Arial"/>
          <w:szCs w:val="22"/>
          <w:lang w:eastAsia="en-US"/>
        </w:rPr>
        <w:t>e</w:t>
      </w:r>
      <w:r w:rsidRPr="000E5A31">
        <w:rPr>
          <w:rFonts w:eastAsia="Calibri" w:cs="Arial"/>
          <w:szCs w:val="22"/>
          <w:lang w:eastAsia="en-US"/>
        </w:rPr>
        <w:t xml:space="preserve"> erreichen und </w:t>
      </w:r>
      <w:r w:rsidR="007F49F8" w:rsidRPr="000E5A31">
        <w:rPr>
          <w:rFonts w:eastAsia="Calibri" w:cs="Arial"/>
          <w:szCs w:val="22"/>
          <w:lang w:eastAsia="en-US"/>
        </w:rPr>
        <w:t xml:space="preserve">die geäußerten </w:t>
      </w:r>
      <w:r w:rsidRPr="000E5A31">
        <w:rPr>
          <w:rFonts w:eastAsia="Calibri" w:cs="Arial"/>
          <w:szCs w:val="22"/>
          <w:lang w:eastAsia="en-US"/>
        </w:rPr>
        <w:t>Erwartungen befriedigen</w:t>
      </w:r>
      <w:r w:rsidR="007F49F8" w:rsidRPr="000E5A31">
        <w:rPr>
          <w:rFonts w:eastAsia="Calibri" w:cs="Arial"/>
          <w:szCs w:val="22"/>
          <w:lang w:eastAsia="en-US"/>
        </w:rPr>
        <w:t xml:space="preserve"> zu kö</w:t>
      </w:r>
      <w:r w:rsidR="007F49F8" w:rsidRPr="000E5A31">
        <w:rPr>
          <w:rFonts w:eastAsia="Calibri" w:cs="Arial"/>
          <w:szCs w:val="22"/>
          <w:lang w:eastAsia="en-US"/>
        </w:rPr>
        <w:t>n</w:t>
      </w:r>
      <w:r w:rsidR="007F49F8" w:rsidRPr="000E5A31">
        <w:rPr>
          <w:rFonts w:eastAsia="Calibri" w:cs="Arial"/>
          <w:szCs w:val="22"/>
          <w:lang w:eastAsia="en-US"/>
        </w:rPr>
        <w:t>nen</w:t>
      </w:r>
      <w:r w:rsidRPr="000E5A31">
        <w:rPr>
          <w:rFonts w:eastAsia="Calibri" w:cs="Arial"/>
          <w:szCs w:val="22"/>
          <w:lang w:eastAsia="en-US"/>
        </w:rPr>
        <w:t xml:space="preserve">, wurde ein „klassischer“ </w:t>
      </w:r>
      <w:r w:rsidR="00C85B6B" w:rsidRPr="000E5A31">
        <w:rPr>
          <w:rFonts w:eastAsia="Calibri" w:cs="Arial"/>
          <w:szCs w:val="22"/>
          <w:lang w:eastAsia="en-US"/>
        </w:rPr>
        <w:t>Mehrebenenansatz</w:t>
      </w:r>
      <w:r w:rsidRPr="000E5A31">
        <w:rPr>
          <w:rFonts w:eastAsia="Calibri" w:cs="Arial"/>
          <w:szCs w:val="22"/>
          <w:lang w:eastAsia="en-US"/>
        </w:rPr>
        <w:t xml:space="preserve"> gewählt: </w:t>
      </w:r>
      <w:r w:rsidR="008132C7" w:rsidRPr="000E5A31">
        <w:rPr>
          <w:rFonts w:eastAsia="Calibri" w:cs="Arial"/>
          <w:szCs w:val="22"/>
          <w:lang w:eastAsia="en-US"/>
        </w:rPr>
        <w:t xml:space="preserve">Auf der </w:t>
      </w:r>
      <w:r w:rsidR="00C85B6B" w:rsidRPr="000E5A31">
        <w:rPr>
          <w:rFonts w:eastAsia="Calibri" w:cs="Arial"/>
          <w:szCs w:val="22"/>
          <w:lang w:eastAsia="en-US"/>
        </w:rPr>
        <w:t>Makro-Ebene</w:t>
      </w:r>
      <w:r w:rsidR="008132C7" w:rsidRPr="000E5A31">
        <w:rPr>
          <w:rFonts w:eastAsia="Calibri" w:cs="Arial"/>
          <w:szCs w:val="22"/>
          <w:lang w:eastAsia="en-US"/>
        </w:rPr>
        <w:t xml:space="preserve"> arbeitet das Vorhaben an </w:t>
      </w:r>
      <w:r w:rsidR="009257DE" w:rsidRPr="000E5A31">
        <w:rPr>
          <w:rFonts w:eastAsia="Calibri" w:cs="Arial"/>
          <w:szCs w:val="22"/>
          <w:lang w:eastAsia="en-US"/>
        </w:rPr>
        <w:t>einer</w:t>
      </w:r>
      <w:r w:rsidR="008132C7" w:rsidRPr="000E5A31">
        <w:rPr>
          <w:rFonts w:eastAsia="Calibri" w:cs="Arial"/>
          <w:szCs w:val="22"/>
          <w:lang w:eastAsia="en-US"/>
        </w:rPr>
        <w:t xml:space="preserve"> </w:t>
      </w:r>
      <w:r w:rsidR="009257DE" w:rsidRPr="000E5A31">
        <w:rPr>
          <w:rFonts w:eastAsia="Calibri" w:cs="Arial"/>
          <w:szCs w:val="22"/>
          <w:lang w:eastAsia="en-US"/>
        </w:rPr>
        <w:t xml:space="preserve">gezielten </w:t>
      </w:r>
      <w:r w:rsidR="008132C7" w:rsidRPr="000E5A31">
        <w:rPr>
          <w:rFonts w:eastAsia="Calibri" w:cs="Arial"/>
          <w:szCs w:val="22"/>
          <w:lang w:eastAsia="en-US"/>
        </w:rPr>
        <w:t>Verbesserung der Daten- und Wissenslage zu den Que</w:t>
      </w:r>
      <w:r w:rsidR="00C85B6B" w:rsidRPr="000E5A31">
        <w:rPr>
          <w:rFonts w:eastAsia="Calibri" w:cs="Arial"/>
          <w:szCs w:val="22"/>
          <w:lang w:eastAsia="en-US"/>
        </w:rPr>
        <w:t>r</w:t>
      </w:r>
      <w:r w:rsidR="008132C7" w:rsidRPr="000E5A31">
        <w:rPr>
          <w:rFonts w:eastAsia="Calibri" w:cs="Arial"/>
          <w:szCs w:val="22"/>
          <w:lang w:eastAsia="en-US"/>
        </w:rPr>
        <w:t>verbi</w:t>
      </w:r>
      <w:r w:rsidR="00C85B6B" w:rsidRPr="000E5A31">
        <w:rPr>
          <w:rFonts w:eastAsia="Calibri" w:cs="Arial"/>
          <w:szCs w:val="22"/>
          <w:lang w:eastAsia="en-US"/>
        </w:rPr>
        <w:t>n</w:t>
      </w:r>
      <w:r w:rsidR="008132C7" w:rsidRPr="000E5A31">
        <w:rPr>
          <w:rFonts w:eastAsia="Calibri" w:cs="Arial"/>
          <w:szCs w:val="22"/>
          <w:lang w:eastAsia="en-US"/>
        </w:rPr>
        <w:t>dungen Energie - Beschäftigung mit dem Ziel einer stä</w:t>
      </w:r>
      <w:r w:rsidR="009257DE" w:rsidRPr="000E5A31">
        <w:rPr>
          <w:rFonts w:eastAsia="Calibri" w:cs="Arial"/>
          <w:szCs w:val="22"/>
          <w:lang w:eastAsia="en-US"/>
        </w:rPr>
        <w:t>r</w:t>
      </w:r>
      <w:r w:rsidR="008132C7" w:rsidRPr="000E5A31">
        <w:rPr>
          <w:rFonts w:eastAsia="Calibri" w:cs="Arial"/>
          <w:szCs w:val="22"/>
          <w:lang w:eastAsia="en-US"/>
        </w:rPr>
        <w:t xml:space="preserve">keren Bewusstmachung </w:t>
      </w:r>
      <w:r w:rsidR="009257DE" w:rsidRPr="000E5A31">
        <w:rPr>
          <w:rFonts w:eastAsia="Calibri" w:cs="Arial"/>
          <w:szCs w:val="22"/>
          <w:lang w:eastAsia="en-US"/>
        </w:rPr>
        <w:t>de</w:t>
      </w:r>
      <w:r w:rsidR="007F49F8" w:rsidRPr="000E5A31">
        <w:rPr>
          <w:rFonts w:eastAsia="Calibri" w:cs="Arial"/>
          <w:szCs w:val="22"/>
          <w:lang w:eastAsia="en-US"/>
        </w:rPr>
        <w:t>r</w:t>
      </w:r>
      <w:r w:rsidR="009257DE" w:rsidRPr="000E5A31">
        <w:rPr>
          <w:rFonts w:eastAsia="Calibri" w:cs="Arial"/>
          <w:szCs w:val="22"/>
          <w:lang w:eastAsia="en-US"/>
        </w:rPr>
        <w:t xml:space="preserve"> einko</w:t>
      </w:r>
      <w:r w:rsidR="00C85B6B" w:rsidRPr="000E5A31">
        <w:rPr>
          <w:rFonts w:eastAsia="Calibri" w:cs="Arial"/>
          <w:szCs w:val="22"/>
          <w:lang w:eastAsia="en-US"/>
        </w:rPr>
        <w:t>m</w:t>
      </w:r>
      <w:r w:rsidR="009257DE" w:rsidRPr="000E5A31">
        <w:rPr>
          <w:rFonts w:eastAsia="Calibri" w:cs="Arial"/>
          <w:szCs w:val="22"/>
          <w:lang w:eastAsia="en-US"/>
        </w:rPr>
        <w:t xml:space="preserve">mens- und beschäftigungsfördernden Effekte von RE/EE sowie einer konsequenten </w:t>
      </w:r>
      <w:r w:rsidR="008132C7" w:rsidRPr="000E5A31">
        <w:rPr>
          <w:rFonts w:eastAsia="Calibri" w:cs="Arial"/>
          <w:szCs w:val="22"/>
          <w:lang w:eastAsia="en-US"/>
        </w:rPr>
        <w:t>Ve</w:t>
      </w:r>
      <w:r w:rsidR="009257DE" w:rsidRPr="000E5A31">
        <w:rPr>
          <w:rFonts w:eastAsia="Calibri" w:cs="Arial"/>
          <w:szCs w:val="22"/>
          <w:lang w:eastAsia="en-US"/>
        </w:rPr>
        <w:t>r</w:t>
      </w:r>
      <w:r w:rsidR="008132C7" w:rsidRPr="000E5A31">
        <w:rPr>
          <w:rFonts w:eastAsia="Calibri" w:cs="Arial"/>
          <w:szCs w:val="22"/>
          <w:lang w:eastAsia="en-US"/>
        </w:rPr>
        <w:t>be</w:t>
      </w:r>
      <w:r w:rsidR="00C85B6B" w:rsidRPr="000E5A31">
        <w:rPr>
          <w:rFonts w:eastAsia="Calibri" w:cs="Arial"/>
          <w:szCs w:val="22"/>
          <w:lang w:eastAsia="en-US"/>
        </w:rPr>
        <w:t>s</w:t>
      </w:r>
      <w:r w:rsidR="008132C7" w:rsidRPr="000E5A31">
        <w:rPr>
          <w:rFonts w:eastAsia="Calibri" w:cs="Arial"/>
          <w:szCs w:val="22"/>
          <w:lang w:eastAsia="en-US"/>
        </w:rPr>
        <w:t>serung der Strategie- und Politikentwicklung</w:t>
      </w:r>
      <w:r w:rsidR="009257DE" w:rsidRPr="000E5A31">
        <w:rPr>
          <w:rFonts w:eastAsia="Calibri" w:cs="Arial"/>
          <w:szCs w:val="22"/>
          <w:lang w:eastAsia="en-US"/>
        </w:rPr>
        <w:t xml:space="preserve"> </w:t>
      </w:r>
      <w:r w:rsidR="007F49F8" w:rsidRPr="000E5A31">
        <w:rPr>
          <w:rFonts w:eastAsia="Calibri" w:cs="Arial"/>
          <w:szCs w:val="22"/>
          <w:lang w:eastAsia="en-US"/>
        </w:rPr>
        <w:t>in den MENA Ländern</w:t>
      </w:r>
      <w:r w:rsidR="008132C7" w:rsidRPr="000E5A31">
        <w:rPr>
          <w:rFonts w:eastAsia="Calibri" w:cs="Arial"/>
          <w:szCs w:val="22"/>
          <w:lang w:eastAsia="en-US"/>
        </w:rPr>
        <w:t xml:space="preserve">. Auf der </w:t>
      </w:r>
      <w:r w:rsidR="00C85B6B" w:rsidRPr="000E5A31">
        <w:rPr>
          <w:rFonts w:eastAsia="Calibri" w:cs="Arial"/>
          <w:szCs w:val="22"/>
          <w:lang w:eastAsia="en-US"/>
        </w:rPr>
        <w:t>Meso-Ebene</w:t>
      </w:r>
      <w:r w:rsidR="008132C7" w:rsidRPr="000E5A31">
        <w:rPr>
          <w:rFonts w:eastAsia="Calibri" w:cs="Arial"/>
          <w:szCs w:val="22"/>
          <w:lang w:eastAsia="en-US"/>
        </w:rPr>
        <w:t xml:space="preserve"> wird an der Entwicklung angepasster(er) Rahmenbedingungen</w:t>
      </w:r>
      <w:r w:rsidR="00B45C39" w:rsidRPr="000E5A31">
        <w:rPr>
          <w:rFonts w:eastAsia="Calibri" w:cs="Arial"/>
          <w:szCs w:val="22"/>
          <w:lang w:eastAsia="en-US"/>
        </w:rPr>
        <w:t xml:space="preserve"> und</w:t>
      </w:r>
      <w:r w:rsidR="008132C7" w:rsidRPr="000E5A31">
        <w:rPr>
          <w:rFonts w:eastAsia="Calibri" w:cs="Arial"/>
          <w:szCs w:val="22"/>
          <w:lang w:eastAsia="en-US"/>
        </w:rPr>
        <w:t xml:space="preserve"> Förderinstrumente </w:t>
      </w:r>
      <w:r w:rsidR="00B45C39" w:rsidRPr="000E5A31">
        <w:rPr>
          <w:rFonts w:eastAsia="Calibri" w:cs="Arial"/>
          <w:szCs w:val="22"/>
          <w:lang w:eastAsia="en-US"/>
        </w:rPr>
        <w:t xml:space="preserve">sowie an der Erprobung unternehmens- und sektorspezifischer </w:t>
      </w:r>
      <w:r w:rsidR="008132C7" w:rsidRPr="000E5A31">
        <w:rPr>
          <w:rFonts w:eastAsia="Calibri" w:cs="Arial"/>
          <w:szCs w:val="22"/>
          <w:lang w:eastAsia="en-US"/>
        </w:rPr>
        <w:t>Begleitmaßnahmen gea</w:t>
      </w:r>
      <w:r w:rsidR="00C85B6B" w:rsidRPr="000E5A31">
        <w:rPr>
          <w:rFonts w:eastAsia="Calibri" w:cs="Arial"/>
          <w:szCs w:val="22"/>
          <w:lang w:eastAsia="en-US"/>
        </w:rPr>
        <w:t>r</w:t>
      </w:r>
      <w:r w:rsidR="008132C7" w:rsidRPr="000E5A31">
        <w:rPr>
          <w:rFonts w:eastAsia="Calibri" w:cs="Arial"/>
          <w:szCs w:val="22"/>
          <w:lang w:eastAsia="en-US"/>
        </w:rPr>
        <w:t>beitet, mit dem Zi</w:t>
      </w:r>
      <w:r w:rsidR="00D142F2" w:rsidRPr="000E5A31">
        <w:rPr>
          <w:rFonts w:eastAsia="Calibri" w:cs="Arial"/>
          <w:szCs w:val="22"/>
          <w:lang w:eastAsia="en-US"/>
        </w:rPr>
        <w:t>e</w:t>
      </w:r>
      <w:r w:rsidR="008132C7" w:rsidRPr="000E5A31">
        <w:rPr>
          <w:rFonts w:eastAsia="Calibri" w:cs="Arial"/>
          <w:szCs w:val="22"/>
          <w:lang w:eastAsia="en-US"/>
        </w:rPr>
        <w:t xml:space="preserve">l, die Nutzung der identifizierten Marktnischen </w:t>
      </w:r>
      <w:r w:rsidR="009257DE" w:rsidRPr="000E5A31">
        <w:rPr>
          <w:rFonts w:eastAsia="Calibri" w:cs="Arial"/>
          <w:szCs w:val="22"/>
          <w:lang w:eastAsia="en-US"/>
        </w:rPr>
        <w:t xml:space="preserve">und Technologiesegmente </w:t>
      </w:r>
      <w:r w:rsidR="008132C7" w:rsidRPr="000E5A31">
        <w:rPr>
          <w:rFonts w:eastAsia="Calibri" w:cs="Arial"/>
          <w:szCs w:val="22"/>
          <w:lang w:eastAsia="en-US"/>
        </w:rPr>
        <w:t>durch lok</w:t>
      </w:r>
      <w:r w:rsidR="00C85B6B" w:rsidRPr="000E5A31">
        <w:rPr>
          <w:rFonts w:eastAsia="Calibri" w:cs="Arial"/>
          <w:szCs w:val="22"/>
          <w:lang w:eastAsia="en-US"/>
        </w:rPr>
        <w:t>a</w:t>
      </w:r>
      <w:r w:rsidR="008132C7" w:rsidRPr="000E5A31">
        <w:rPr>
          <w:rFonts w:eastAsia="Calibri" w:cs="Arial"/>
          <w:szCs w:val="22"/>
          <w:lang w:eastAsia="en-US"/>
        </w:rPr>
        <w:t xml:space="preserve">le Wirtschaftsakteure zielgenau unterstützen </w:t>
      </w:r>
      <w:r w:rsidR="00B45C39" w:rsidRPr="000E5A31">
        <w:rPr>
          <w:rFonts w:eastAsia="Calibri" w:cs="Arial"/>
          <w:szCs w:val="22"/>
          <w:lang w:eastAsia="en-US"/>
        </w:rPr>
        <w:t>und dadurch die lokalen Beschäft</w:t>
      </w:r>
      <w:r w:rsidR="00C85B6B" w:rsidRPr="000E5A31">
        <w:rPr>
          <w:rFonts w:eastAsia="Calibri" w:cs="Arial"/>
          <w:szCs w:val="22"/>
          <w:lang w:eastAsia="en-US"/>
        </w:rPr>
        <w:t>i</w:t>
      </w:r>
      <w:r w:rsidR="00B45C39" w:rsidRPr="000E5A31">
        <w:rPr>
          <w:rFonts w:eastAsia="Calibri" w:cs="Arial"/>
          <w:szCs w:val="22"/>
          <w:lang w:eastAsia="en-US"/>
        </w:rPr>
        <w:t>gungswirku</w:t>
      </w:r>
      <w:r w:rsidR="00C85B6B" w:rsidRPr="000E5A31">
        <w:rPr>
          <w:rFonts w:eastAsia="Calibri" w:cs="Arial"/>
          <w:szCs w:val="22"/>
          <w:lang w:eastAsia="en-US"/>
        </w:rPr>
        <w:t>n</w:t>
      </w:r>
      <w:r w:rsidR="00B45C39" w:rsidRPr="000E5A31">
        <w:rPr>
          <w:rFonts w:eastAsia="Calibri" w:cs="Arial"/>
          <w:szCs w:val="22"/>
          <w:lang w:eastAsia="en-US"/>
        </w:rPr>
        <w:t>gen nachhalt</w:t>
      </w:r>
      <w:r w:rsidR="00C85B6B" w:rsidRPr="000E5A31">
        <w:rPr>
          <w:rFonts w:eastAsia="Calibri" w:cs="Arial"/>
          <w:szCs w:val="22"/>
          <w:lang w:eastAsia="en-US"/>
        </w:rPr>
        <w:t>i</w:t>
      </w:r>
      <w:r w:rsidR="00B45C39" w:rsidRPr="000E5A31">
        <w:rPr>
          <w:rFonts w:eastAsia="Calibri" w:cs="Arial"/>
          <w:szCs w:val="22"/>
          <w:lang w:eastAsia="en-US"/>
        </w:rPr>
        <w:t xml:space="preserve">ger Energien besser nutzen </w:t>
      </w:r>
      <w:r w:rsidR="008132C7" w:rsidRPr="000E5A31">
        <w:rPr>
          <w:rFonts w:eastAsia="Calibri" w:cs="Arial"/>
          <w:szCs w:val="22"/>
          <w:lang w:eastAsia="en-US"/>
        </w:rPr>
        <w:t xml:space="preserve">zu können. Auf der </w:t>
      </w:r>
      <w:r w:rsidR="00C85B6B" w:rsidRPr="000E5A31">
        <w:rPr>
          <w:rFonts w:eastAsia="Calibri" w:cs="Arial"/>
          <w:szCs w:val="22"/>
          <w:lang w:eastAsia="en-US"/>
        </w:rPr>
        <w:t>Mik</w:t>
      </w:r>
      <w:r w:rsidR="00FC0BB3">
        <w:rPr>
          <w:rFonts w:eastAsia="Calibri" w:cs="Arial"/>
          <w:szCs w:val="22"/>
          <w:lang w:eastAsia="en-US"/>
        </w:rPr>
        <w:t>r</w:t>
      </w:r>
      <w:r w:rsidR="00C85B6B" w:rsidRPr="000E5A31">
        <w:rPr>
          <w:rFonts w:eastAsia="Calibri" w:cs="Arial"/>
          <w:szCs w:val="22"/>
          <w:lang w:eastAsia="en-US"/>
        </w:rPr>
        <w:t>o-Ebene</w:t>
      </w:r>
      <w:r w:rsidR="008132C7" w:rsidRPr="000E5A31">
        <w:rPr>
          <w:rFonts w:eastAsia="Calibri" w:cs="Arial"/>
          <w:szCs w:val="22"/>
          <w:lang w:eastAsia="en-US"/>
        </w:rPr>
        <w:t xml:space="preserve"> </w:t>
      </w:r>
      <w:r w:rsidR="00F91D83" w:rsidRPr="000E5A31">
        <w:rPr>
          <w:rFonts w:eastAsia="Calibri" w:cs="Arial"/>
          <w:szCs w:val="22"/>
          <w:lang w:eastAsia="en-US"/>
        </w:rPr>
        <w:t>wird</w:t>
      </w:r>
      <w:r w:rsidR="008132C7" w:rsidRPr="000E5A31">
        <w:rPr>
          <w:rFonts w:eastAsia="Calibri" w:cs="Arial"/>
          <w:szCs w:val="22"/>
          <w:lang w:eastAsia="en-US"/>
        </w:rPr>
        <w:t xml:space="preserve"> de</w:t>
      </w:r>
      <w:r w:rsidR="00F91D83" w:rsidRPr="000E5A31">
        <w:rPr>
          <w:rFonts w:eastAsia="Calibri" w:cs="Arial"/>
          <w:szCs w:val="22"/>
          <w:lang w:eastAsia="en-US"/>
        </w:rPr>
        <w:t>r</w:t>
      </w:r>
      <w:r w:rsidR="008132C7" w:rsidRPr="000E5A31">
        <w:rPr>
          <w:rFonts w:eastAsia="Calibri" w:cs="Arial"/>
          <w:szCs w:val="22"/>
          <w:lang w:eastAsia="en-US"/>
        </w:rPr>
        <w:t xml:space="preserve"> Auf- und </w:t>
      </w:r>
      <w:r w:rsidR="008132C7" w:rsidRPr="000E5A31">
        <w:rPr>
          <w:rFonts w:eastAsia="Calibri" w:cs="Arial"/>
          <w:szCs w:val="22"/>
          <w:lang w:eastAsia="en-US"/>
        </w:rPr>
        <w:lastRenderedPageBreak/>
        <w:t>Ausbau von Kompetenzen und Kapazitäten auf individueller und institutioneller Ebene</w:t>
      </w:r>
      <w:r w:rsidR="00F91D83" w:rsidRPr="000E5A31">
        <w:rPr>
          <w:rFonts w:eastAsia="Calibri" w:cs="Arial"/>
          <w:szCs w:val="22"/>
          <w:lang w:eastAsia="en-US"/>
        </w:rPr>
        <w:t xml:space="preserve"> gefö</w:t>
      </w:r>
      <w:r w:rsidR="00F91D83" w:rsidRPr="000E5A31">
        <w:rPr>
          <w:rFonts w:eastAsia="Calibri" w:cs="Arial"/>
          <w:szCs w:val="22"/>
          <w:lang w:eastAsia="en-US"/>
        </w:rPr>
        <w:t>r</w:t>
      </w:r>
      <w:r w:rsidR="00F91D83" w:rsidRPr="000E5A31">
        <w:rPr>
          <w:rFonts w:eastAsia="Calibri" w:cs="Arial"/>
          <w:szCs w:val="22"/>
          <w:lang w:eastAsia="en-US"/>
        </w:rPr>
        <w:t>dert</w:t>
      </w:r>
      <w:r w:rsidR="008132C7" w:rsidRPr="000E5A31">
        <w:rPr>
          <w:rFonts w:eastAsia="Calibri" w:cs="Arial"/>
          <w:szCs w:val="22"/>
          <w:lang w:eastAsia="en-US"/>
        </w:rPr>
        <w:t xml:space="preserve">, mit dem Ziel, die gemeinsam entwickelten Förderpolitiken und –instrumente besser </w:t>
      </w:r>
      <w:r w:rsidR="00E044FB" w:rsidRPr="000E5A31">
        <w:rPr>
          <w:rFonts w:eastAsia="Calibri" w:cs="Arial"/>
          <w:szCs w:val="22"/>
          <w:lang w:eastAsia="en-US"/>
        </w:rPr>
        <w:t>u</w:t>
      </w:r>
      <w:r w:rsidR="00E044FB" w:rsidRPr="000E5A31">
        <w:rPr>
          <w:rFonts w:eastAsia="Calibri" w:cs="Arial"/>
          <w:szCs w:val="22"/>
          <w:lang w:eastAsia="en-US"/>
        </w:rPr>
        <w:t>m</w:t>
      </w:r>
      <w:r w:rsidR="00E044FB" w:rsidRPr="000E5A31">
        <w:rPr>
          <w:rFonts w:eastAsia="Calibri" w:cs="Arial"/>
          <w:szCs w:val="22"/>
          <w:lang w:eastAsia="en-US"/>
        </w:rPr>
        <w:t>setz</w:t>
      </w:r>
      <w:r w:rsidR="008132C7" w:rsidRPr="000E5A31">
        <w:rPr>
          <w:rFonts w:eastAsia="Calibri" w:cs="Arial"/>
          <w:szCs w:val="22"/>
          <w:lang w:eastAsia="en-US"/>
        </w:rPr>
        <w:t xml:space="preserve">en </w:t>
      </w:r>
      <w:r w:rsidR="00F91D83" w:rsidRPr="000E5A31">
        <w:rPr>
          <w:rFonts w:eastAsia="Calibri" w:cs="Arial"/>
          <w:szCs w:val="22"/>
          <w:lang w:eastAsia="en-US"/>
        </w:rPr>
        <w:t>und</w:t>
      </w:r>
      <w:r w:rsidR="00B45C39" w:rsidRPr="000E5A31">
        <w:rPr>
          <w:rFonts w:eastAsia="Calibri" w:cs="Arial"/>
          <w:szCs w:val="22"/>
          <w:lang w:eastAsia="en-US"/>
        </w:rPr>
        <w:t xml:space="preserve"> die identifi</w:t>
      </w:r>
      <w:r w:rsidR="00714B11" w:rsidRPr="000E5A31">
        <w:rPr>
          <w:rFonts w:eastAsia="Calibri" w:cs="Arial"/>
          <w:szCs w:val="22"/>
          <w:lang w:eastAsia="en-US"/>
        </w:rPr>
        <w:t>zi</w:t>
      </w:r>
      <w:r w:rsidR="00B45C39" w:rsidRPr="000E5A31">
        <w:rPr>
          <w:rFonts w:eastAsia="Calibri" w:cs="Arial"/>
          <w:szCs w:val="22"/>
          <w:lang w:eastAsia="en-US"/>
        </w:rPr>
        <w:t xml:space="preserve">erten Technologieoptionen und Marktsegmente besser nutzen </w:t>
      </w:r>
      <w:r w:rsidR="008132C7" w:rsidRPr="000E5A31">
        <w:rPr>
          <w:rFonts w:eastAsia="Calibri" w:cs="Arial"/>
          <w:szCs w:val="22"/>
          <w:lang w:eastAsia="en-US"/>
        </w:rPr>
        <w:t xml:space="preserve">zu können. </w:t>
      </w:r>
      <w:r w:rsidR="00A45D5A" w:rsidRPr="000E5A31">
        <w:rPr>
          <w:rFonts w:eastAsia="Calibri" w:cs="Arial"/>
          <w:szCs w:val="22"/>
          <w:lang w:eastAsia="en-US"/>
        </w:rPr>
        <w:t xml:space="preserve">Konkrete Vorort-Maßnahmen und Pilotprojekte, mit deren Hilfe die Ergebnisse und Empfehlungen getestet und verbessert werden können, </w:t>
      </w:r>
      <w:r w:rsidR="00F91D83" w:rsidRPr="000E5A31">
        <w:rPr>
          <w:rFonts w:eastAsia="Calibri" w:cs="Arial"/>
          <w:szCs w:val="22"/>
          <w:lang w:eastAsia="en-US"/>
        </w:rPr>
        <w:t>sind</w:t>
      </w:r>
      <w:r w:rsidR="007B03D4" w:rsidRPr="000E5A31">
        <w:rPr>
          <w:rFonts w:eastAsia="Calibri" w:cs="Arial"/>
          <w:szCs w:val="22"/>
          <w:lang w:eastAsia="en-US"/>
        </w:rPr>
        <w:t xml:space="preserve"> ebenfalls </w:t>
      </w:r>
      <w:r w:rsidR="00F91D83" w:rsidRPr="000E5A31">
        <w:rPr>
          <w:rFonts w:eastAsia="Calibri" w:cs="Arial"/>
          <w:szCs w:val="22"/>
          <w:lang w:eastAsia="en-US"/>
        </w:rPr>
        <w:t>zu nennen</w:t>
      </w:r>
      <w:r w:rsidR="007B03D4" w:rsidRPr="000E5A31">
        <w:rPr>
          <w:rFonts w:eastAsia="Calibri" w:cs="Arial"/>
          <w:szCs w:val="22"/>
          <w:lang w:eastAsia="en-US"/>
        </w:rPr>
        <w:t xml:space="preserve">. </w:t>
      </w:r>
      <w:r w:rsidR="00E044FB" w:rsidRPr="000E5A31">
        <w:rPr>
          <w:rFonts w:eastAsia="Calibri" w:cs="Arial"/>
          <w:szCs w:val="22"/>
          <w:lang w:eastAsia="en-US"/>
        </w:rPr>
        <w:t>Maßna</w:t>
      </w:r>
      <w:r w:rsidR="00E044FB" w:rsidRPr="000E5A31">
        <w:rPr>
          <w:rFonts w:eastAsia="Calibri" w:cs="Arial"/>
          <w:szCs w:val="22"/>
          <w:lang w:eastAsia="en-US"/>
        </w:rPr>
        <w:t>h</w:t>
      </w:r>
      <w:r w:rsidR="00E044FB" w:rsidRPr="000E5A31">
        <w:rPr>
          <w:rFonts w:eastAsia="Calibri" w:cs="Arial"/>
          <w:szCs w:val="22"/>
          <w:lang w:eastAsia="en-US"/>
        </w:rPr>
        <w:t>men auf regionaler Ebene, welche Erfahrungsaustausch und Netzwerkbildung über Länder- und Sektorgrenzen hinweg befördern, unterstützen und runden diesen Ansatz ab.</w:t>
      </w:r>
    </w:p>
    <w:p w:rsidR="00693CC7" w:rsidRPr="000E5A31" w:rsidRDefault="00693CC7" w:rsidP="00693CC7">
      <w:pPr>
        <w:spacing w:after="120"/>
        <w:rPr>
          <w:rFonts w:eastAsia="Calibri" w:cs="Arial"/>
          <w:szCs w:val="22"/>
          <w:lang w:eastAsia="en-US"/>
        </w:rPr>
      </w:pPr>
      <w:r w:rsidRPr="000E5A31">
        <w:rPr>
          <w:rFonts w:eastAsia="Calibri" w:cs="Arial"/>
          <w:szCs w:val="22"/>
          <w:lang w:eastAsia="en-US"/>
        </w:rPr>
        <w:t xml:space="preserve">Trotz </w:t>
      </w:r>
      <w:r w:rsidR="00450DA5" w:rsidRPr="000E5A31">
        <w:rPr>
          <w:rFonts w:eastAsia="Calibri" w:cs="Arial"/>
          <w:szCs w:val="22"/>
          <w:lang w:eastAsia="en-US"/>
        </w:rPr>
        <w:t xml:space="preserve">ausgesprochen </w:t>
      </w:r>
      <w:r w:rsidRPr="000E5A31">
        <w:rPr>
          <w:rFonts w:eastAsia="Calibri" w:cs="Arial"/>
          <w:szCs w:val="22"/>
          <w:lang w:eastAsia="en-US"/>
        </w:rPr>
        <w:t>ambitionierter Vorgaben und weiterhin schwieriger Rahmenbedingu</w:t>
      </w:r>
      <w:r w:rsidRPr="000E5A31">
        <w:rPr>
          <w:rFonts w:eastAsia="Calibri" w:cs="Arial"/>
          <w:szCs w:val="22"/>
          <w:lang w:eastAsia="en-US"/>
        </w:rPr>
        <w:t>n</w:t>
      </w:r>
      <w:r w:rsidRPr="000E5A31">
        <w:rPr>
          <w:rFonts w:eastAsia="Calibri" w:cs="Arial"/>
          <w:szCs w:val="22"/>
          <w:lang w:eastAsia="en-US"/>
        </w:rPr>
        <w:t xml:space="preserve">gen </w:t>
      </w:r>
      <w:r w:rsidR="00450DA5" w:rsidRPr="000E5A31">
        <w:rPr>
          <w:rFonts w:eastAsia="Calibri" w:cs="Arial"/>
          <w:szCs w:val="22"/>
          <w:lang w:eastAsia="en-US"/>
        </w:rPr>
        <w:t xml:space="preserve">in vielen Zielländern </w:t>
      </w:r>
      <w:r w:rsidRPr="000E5A31">
        <w:rPr>
          <w:rFonts w:eastAsia="Calibri" w:cs="Arial"/>
          <w:szCs w:val="22"/>
          <w:lang w:eastAsia="en-US"/>
        </w:rPr>
        <w:t>entwickelte sich das Vorhaben im Berichtsjahr grosso modo gut. A</w:t>
      </w:r>
      <w:r w:rsidRPr="000E5A31">
        <w:rPr>
          <w:rFonts w:eastAsia="Calibri" w:cs="Arial"/>
          <w:szCs w:val="22"/>
          <w:lang w:eastAsia="en-US"/>
        </w:rPr>
        <w:t>l</w:t>
      </w:r>
      <w:r w:rsidRPr="000E5A31">
        <w:rPr>
          <w:rFonts w:eastAsia="Calibri" w:cs="Arial"/>
          <w:szCs w:val="22"/>
          <w:lang w:eastAsia="en-US"/>
        </w:rPr>
        <w:t xml:space="preserve">lerdings </w:t>
      </w:r>
      <w:r w:rsidR="00450DA5" w:rsidRPr="000E5A31">
        <w:rPr>
          <w:rFonts w:eastAsia="Calibri" w:cs="Arial"/>
          <w:szCs w:val="22"/>
          <w:lang w:eastAsia="en-US"/>
        </w:rPr>
        <w:t xml:space="preserve">verursachten einige Veränderungen und äußere Einflussfaktoren im Projektkontext, </w:t>
      </w:r>
      <w:r w:rsidRPr="000E5A31">
        <w:rPr>
          <w:rFonts w:eastAsia="Calibri" w:cs="Arial"/>
          <w:szCs w:val="22"/>
          <w:lang w:eastAsia="en-US"/>
        </w:rPr>
        <w:t xml:space="preserve">die zum Zeitpunkt der Antragserstellung </w:t>
      </w:r>
      <w:r w:rsidR="00450DA5" w:rsidRPr="000E5A31">
        <w:rPr>
          <w:rFonts w:eastAsia="Calibri" w:cs="Arial"/>
          <w:szCs w:val="22"/>
          <w:lang w:eastAsia="en-US"/>
        </w:rPr>
        <w:t>größtenteils</w:t>
      </w:r>
      <w:r w:rsidRPr="000E5A31">
        <w:rPr>
          <w:rFonts w:eastAsia="Calibri" w:cs="Arial"/>
          <w:szCs w:val="22"/>
          <w:lang w:eastAsia="en-US"/>
        </w:rPr>
        <w:t xml:space="preserve"> nicht absehbar waren</w:t>
      </w:r>
      <w:r w:rsidR="00450DA5" w:rsidRPr="000E5A31">
        <w:rPr>
          <w:rFonts w:eastAsia="Calibri" w:cs="Arial"/>
          <w:szCs w:val="22"/>
          <w:lang w:eastAsia="en-US"/>
        </w:rPr>
        <w:t>, anfangs Verz</w:t>
      </w:r>
      <w:r w:rsidR="00450DA5" w:rsidRPr="000E5A31">
        <w:rPr>
          <w:rFonts w:eastAsia="Calibri" w:cs="Arial"/>
          <w:szCs w:val="22"/>
          <w:lang w:eastAsia="en-US"/>
        </w:rPr>
        <w:t>ö</w:t>
      </w:r>
      <w:r w:rsidR="00450DA5" w:rsidRPr="000E5A31">
        <w:rPr>
          <w:rFonts w:eastAsia="Calibri" w:cs="Arial"/>
          <w:szCs w:val="22"/>
          <w:lang w:eastAsia="en-US"/>
        </w:rPr>
        <w:t>gerungen und Schwierigkeiten bei der Projektumsetzung</w:t>
      </w:r>
      <w:r w:rsidR="00401827" w:rsidRPr="000E5A31">
        <w:rPr>
          <w:rFonts w:eastAsia="Calibri" w:cs="Arial"/>
          <w:szCs w:val="22"/>
          <w:lang w:eastAsia="en-US"/>
        </w:rPr>
        <w:t>:</w:t>
      </w:r>
    </w:p>
    <w:p w:rsidR="00693CC7" w:rsidRPr="000E5A31" w:rsidRDefault="00C85B6B" w:rsidP="00693CC7">
      <w:pPr>
        <w:spacing w:after="120"/>
        <w:contextualSpacing/>
        <w:rPr>
          <w:rFonts w:eastAsia="Calibri" w:cs="Arial"/>
          <w:szCs w:val="22"/>
          <w:lang w:eastAsia="en-US"/>
        </w:rPr>
      </w:pPr>
      <w:r w:rsidRPr="000E5A31">
        <w:rPr>
          <w:rFonts w:eastAsia="Calibri" w:cs="Arial"/>
          <w:szCs w:val="22"/>
          <w:lang w:eastAsia="en-US"/>
        </w:rPr>
        <w:t>Zeitintensive Aufbauarbeit und aufwändige Abstimmungsverfahren:</w:t>
      </w:r>
      <w:r w:rsidR="00450DA5" w:rsidRPr="000E5A31">
        <w:rPr>
          <w:rFonts w:eastAsia="Calibri" w:cs="Arial"/>
          <w:b/>
          <w:szCs w:val="22"/>
          <w:lang w:eastAsia="en-US"/>
        </w:rPr>
        <w:t xml:space="preserve"> </w:t>
      </w:r>
      <w:r w:rsidR="00450DA5" w:rsidRPr="000E5A31">
        <w:rPr>
          <w:rFonts w:eastAsia="Calibri" w:cs="Arial"/>
          <w:szCs w:val="22"/>
          <w:lang w:eastAsia="en-US"/>
        </w:rPr>
        <w:t>Da es sich um ein lä</w:t>
      </w:r>
      <w:r w:rsidR="00450DA5" w:rsidRPr="000E5A31">
        <w:rPr>
          <w:rFonts w:eastAsia="Calibri" w:cs="Arial"/>
          <w:szCs w:val="22"/>
          <w:lang w:eastAsia="en-US"/>
        </w:rPr>
        <w:t>n</w:t>
      </w:r>
      <w:r w:rsidR="00450DA5" w:rsidRPr="000E5A31">
        <w:rPr>
          <w:rFonts w:eastAsia="Calibri" w:cs="Arial"/>
          <w:szCs w:val="22"/>
          <w:lang w:eastAsia="en-US"/>
        </w:rPr>
        <w:t xml:space="preserve">der- und sektorübergreifendes Neuvorhaben ohne politischen Träger handelt, müssen alle </w:t>
      </w:r>
      <w:r w:rsidR="008E514B" w:rsidRPr="000E5A31">
        <w:rPr>
          <w:rFonts w:eastAsia="Calibri" w:cs="Arial"/>
          <w:szCs w:val="22"/>
          <w:lang w:eastAsia="en-US"/>
        </w:rPr>
        <w:t>Arbeitss</w:t>
      </w:r>
      <w:r w:rsidR="00450DA5" w:rsidRPr="000E5A31">
        <w:rPr>
          <w:rFonts w:eastAsia="Calibri" w:cs="Arial"/>
          <w:szCs w:val="22"/>
          <w:lang w:eastAsia="en-US"/>
        </w:rPr>
        <w:t xml:space="preserve">trukturen </w:t>
      </w:r>
      <w:r w:rsidR="008E514B" w:rsidRPr="000E5A31">
        <w:rPr>
          <w:rFonts w:eastAsia="Calibri" w:cs="Arial"/>
          <w:szCs w:val="22"/>
          <w:lang w:eastAsia="en-US"/>
        </w:rPr>
        <w:t xml:space="preserve">und Kooperationsbeziehungen </w:t>
      </w:r>
      <w:r w:rsidR="00450DA5" w:rsidRPr="000E5A31">
        <w:rPr>
          <w:rFonts w:eastAsia="Calibri" w:cs="Arial"/>
          <w:szCs w:val="22"/>
          <w:lang w:eastAsia="en-US"/>
        </w:rPr>
        <w:t xml:space="preserve">neu geschaffen werden. Der Aufbau von Büros, die Einstellung von Personal sowie die </w:t>
      </w:r>
      <w:r w:rsidR="008E514B" w:rsidRPr="000E5A31">
        <w:rPr>
          <w:rFonts w:eastAsia="Calibri" w:cs="Arial"/>
          <w:szCs w:val="22"/>
          <w:lang w:eastAsia="en-US"/>
        </w:rPr>
        <w:t xml:space="preserve">Kommunikation und Koordination mit Kollegen und Partnern </w:t>
      </w:r>
      <w:r w:rsidR="00450DA5" w:rsidRPr="000E5A31">
        <w:rPr>
          <w:rFonts w:eastAsia="Calibri" w:cs="Arial"/>
          <w:szCs w:val="22"/>
          <w:lang w:eastAsia="en-US"/>
        </w:rPr>
        <w:t>in (anfangs) 5 Ländern und 2 Sektoren erfordert naturgemäß Zeit. Die kompl</w:t>
      </w:r>
      <w:r w:rsidR="00450DA5" w:rsidRPr="000E5A31">
        <w:rPr>
          <w:rFonts w:eastAsia="Calibri" w:cs="Arial"/>
          <w:szCs w:val="22"/>
          <w:lang w:eastAsia="en-US"/>
        </w:rPr>
        <w:t>i</w:t>
      </w:r>
      <w:r w:rsidR="00450DA5" w:rsidRPr="000E5A31">
        <w:rPr>
          <w:rFonts w:eastAsia="Calibri" w:cs="Arial"/>
          <w:szCs w:val="22"/>
          <w:lang w:eastAsia="en-US"/>
        </w:rPr>
        <w:t xml:space="preserve">zierten Rahmenbedingungen vor Ort (v.a. in Gestalt einer extrem schwerfälligen </w:t>
      </w:r>
      <w:r w:rsidR="008E514B" w:rsidRPr="000E5A31">
        <w:rPr>
          <w:rFonts w:eastAsia="Calibri" w:cs="Arial"/>
          <w:szCs w:val="22"/>
          <w:lang w:eastAsia="en-US"/>
        </w:rPr>
        <w:t>Verwaltung</w:t>
      </w:r>
      <w:r w:rsidR="00450DA5" w:rsidRPr="000E5A31">
        <w:rPr>
          <w:rFonts w:eastAsia="Calibri" w:cs="Arial"/>
          <w:szCs w:val="22"/>
          <w:lang w:eastAsia="en-US"/>
        </w:rPr>
        <w:t xml:space="preserve"> in Verbindung mit polit</w:t>
      </w:r>
      <w:r w:rsidR="008E514B" w:rsidRPr="000E5A31">
        <w:rPr>
          <w:rFonts w:eastAsia="Calibri" w:cs="Arial"/>
          <w:szCs w:val="22"/>
          <w:lang w:eastAsia="en-US"/>
        </w:rPr>
        <w:t>i</w:t>
      </w:r>
      <w:r w:rsidR="00450DA5" w:rsidRPr="000E5A31">
        <w:rPr>
          <w:rFonts w:eastAsia="Calibri" w:cs="Arial"/>
          <w:szCs w:val="22"/>
          <w:lang w:eastAsia="en-US"/>
        </w:rPr>
        <w:t xml:space="preserve">sch-institutioneller Fragmentierung und Instabilität) erschweren dies zusätzlich. </w:t>
      </w:r>
      <w:r w:rsidR="00693CC7" w:rsidRPr="000E5A31">
        <w:rPr>
          <w:rFonts w:eastAsia="Calibri" w:cs="Arial"/>
          <w:szCs w:val="22"/>
          <w:lang w:eastAsia="en-US"/>
        </w:rPr>
        <w:t>Da</w:t>
      </w:r>
      <w:r w:rsidR="008E514B" w:rsidRPr="000E5A31">
        <w:rPr>
          <w:rFonts w:eastAsia="Calibri" w:cs="Arial"/>
          <w:szCs w:val="22"/>
          <w:lang w:eastAsia="en-US"/>
        </w:rPr>
        <w:t xml:space="preserve"> das</w:t>
      </w:r>
      <w:r w:rsidR="00693CC7" w:rsidRPr="000E5A31">
        <w:rPr>
          <w:rFonts w:eastAsia="Calibri" w:cs="Arial"/>
          <w:szCs w:val="22"/>
          <w:lang w:eastAsia="en-US"/>
        </w:rPr>
        <w:t xml:space="preserve"> Vorhaben </w:t>
      </w:r>
      <w:r w:rsidR="008E514B" w:rsidRPr="000E5A31">
        <w:rPr>
          <w:rFonts w:eastAsia="Calibri" w:cs="Arial"/>
          <w:szCs w:val="22"/>
          <w:lang w:eastAsia="en-US"/>
        </w:rPr>
        <w:t>überdies auf</w:t>
      </w:r>
      <w:r w:rsidR="00693CC7" w:rsidRPr="000E5A31">
        <w:rPr>
          <w:rFonts w:eastAsia="Calibri" w:cs="Arial"/>
          <w:szCs w:val="22"/>
          <w:lang w:eastAsia="en-US"/>
        </w:rPr>
        <w:t>gefordert</w:t>
      </w:r>
      <w:r w:rsidR="008E514B" w:rsidRPr="000E5A31">
        <w:rPr>
          <w:rFonts w:eastAsia="Calibri" w:cs="Arial"/>
          <w:szCs w:val="22"/>
          <w:lang w:eastAsia="en-US"/>
        </w:rPr>
        <w:t xml:space="preserve"> ist</w:t>
      </w:r>
      <w:r w:rsidR="00693CC7" w:rsidRPr="000E5A31">
        <w:rPr>
          <w:rFonts w:eastAsia="Calibri" w:cs="Arial"/>
          <w:szCs w:val="22"/>
          <w:lang w:eastAsia="en-US"/>
        </w:rPr>
        <w:t xml:space="preserve">, synergetisch und komplementär mit den anderen GIZ bzw. EZ Akteuren sowie deren Partnern in </w:t>
      </w:r>
      <w:r w:rsidR="00450DA5" w:rsidRPr="000E5A31">
        <w:rPr>
          <w:rFonts w:eastAsia="Calibri" w:cs="Arial"/>
          <w:szCs w:val="22"/>
          <w:lang w:eastAsia="en-US"/>
        </w:rPr>
        <w:t xml:space="preserve">(anfangs) </w:t>
      </w:r>
      <w:r w:rsidR="00693CC7" w:rsidRPr="000E5A31">
        <w:rPr>
          <w:rFonts w:eastAsia="Calibri" w:cs="Arial"/>
          <w:szCs w:val="22"/>
          <w:lang w:eastAsia="en-US"/>
        </w:rPr>
        <w:t>5 Ländern und 2 Se</w:t>
      </w:r>
      <w:r w:rsidR="00693CC7" w:rsidRPr="000E5A31">
        <w:rPr>
          <w:rFonts w:eastAsia="Calibri" w:cs="Arial"/>
          <w:szCs w:val="22"/>
          <w:lang w:eastAsia="en-US"/>
        </w:rPr>
        <w:t>k</w:t>
      </w:r>
      <w:r w:rsidR="00693CC7" w:rsidRPr="000E5A31">
        <w:rPr>
          <w:rFonts w:eastAsia="Calibri" w:cs="Arial"/>
          <w:szCs w:val="22"/>
          <w:lang w:eastAsia="en-US"/>
        </w:rPr>
        <w:t>toren zusammenzuarbeiten</w:t>
      </w:r>
      <w:r w:rsidR="008E514B" w:rsidRPr="000E5A31">
        <w:rPr>
          <w:rFonts w:eastAsia="Calibri" w:cs="Arial"/>
          <w:szCs w:val="22"/>
          <w:lang w:eastAsia="en-US"/>
        </w:rPr>
        <w:t xml:space="preserve">, </w:t>
      </w:r>
      <w:r w:rsidR="00693CC7" w:rsidRPr="000E5A31">
        <w:rPr>
          <w:rFonts w:eastAsia="Calibri" w:cs="Arial"/>
          <w:szCs w:val="22"/>
          <w:lang w:eastAsia="en-US"/>
        </w:rPr>
        <w:t xml:space="preserve">erfordert </w:t>
      </w:r>
      <w:r w:rsidR="008E514B" w:rsidRPr="000E5A31">
        <w:rPr>
          <w:rFonts w:eastAsia="Calibri" w:cs="Arial"/>
          <w:szCs w:val="22"/>
          <w:lang w:eastAsia="en-US"/>
        </w:rPr>
        <w:t xml:space="preserve">dies </w:t>
      </w:r>
      <w:r w:rsidR="00693CC7" w:rsidRPr="000E5A31">
        <w:rPr>
          <w:rFonts w:eastAsia="Calibri" w:cs="Arial"/>
          <w:szCs w:val="22"/>
          <w:lang w:eastAsia="en-US"/>
        </w:rPr>
        <w:t xml:space="preserve">eine zeitintensive Abstimmung mit sehr vielen Akteuren. Deren Anzahl hat sich zudem aus </w:t>
      </w:r>
      <w:r w:rsidR="00450DA5" w:rsidRPr="000E5A31">
        <w:rPr>
          <w:rFonts w:eastAsia="Calibri" w:cs="Arial"/>
          <w:szCs w:val="22"/>
          <w:lang w:eastAsia="en-US"/>
        </w:rPr>
        <w:t>div</w:t>
      </w:r>
      <w:r w:rsidR="00401827" w:rsidRPr="000E5A31">
        <w:rPr>
          <w:rFonts w:eastAsia="Calibri" w:cs="Arial"/>
          <w:szCs w:val="22"/>
          <w:lang w:eastAsia="en-US"/>
        </w:rPr>
        <w:t>ersen</w:t>
      </w:r>
      <w:r w:rsidR="00693CC7" w:rsidRPr="000E5A31">
        <w:rPr>
          <w:rFonts w:eastAsia="Calibri" w:cs="Arial"/>
          <w:szCs w:val="22"/>
          <w:lang w:eastAsia="en-US"/>
        </w:rPr>
        <w:t xml:space="preserve"> Gründen weiter vergrößert (inkl. infolge der SI MENA mit ihrem Fokus auf Beschäftigung). Allein GIZ-intern gibt es mom</w:t>
      </w:r>
      <w:r w:rsidR="00401827" w:rsidRPr="000E5A31">
        <w:rPr>
          <w:rFonts w:eastAsia="Calibri" w:cs="Arial"/>
          <w:szCs w:val="22"/>
          <w:lang w:eastAsia="en-US"/>
        </w:rPr>
        <w:t>entan</w:t>
      </w:r>
      <w:r w:rsidR="00693CC7" w:rsidRPr="000E5A31">
        <w:rPr>
          <w:rFonts w:eastAsia="Calibri" w:cs="Arial"/>
          <w:szCs w:val="22"/>
          <w:lang w:eastAsia="en-US"/>
        </w:rPr>
        <w:t xml:space="preserve"> </w:t>
      </w:r>
      <w:r w:rsidR="008E514B" w:rsidRPr="000E5A31">
        <w:rPr>
          <w:rFonts w:eastAsia="Calibri" w:cs="Arial"/>
          <w:szCs w:val="22"/>
          <w:lang w:eastAsia="en-US"/>
        </w:rPr>
        <w:t>an die</w:t>
      </w:r>
      <w:r w:rsidR="00693CC7" w:rsidRPr="000E5A31">
        <w:rPr>
          <w:rFonts w:eastAsia="Calibri" w:cs="Arial"/>
          <w:szCs w:val="22"/>
          <w:lang w:eastAsia="en-US"/>
        </w:rPr>
        <w:t xml:space="preserve"> 40 Vorhaben, die </w:t>
      </w:r>
      <w:r w:rsidR="00450DA5" w:rsidRPr="000E5A31">
        <w:rPr>
          <w:rFonts w:eastAsia="Calibri" w:cs="Arial"/>
          <w:szCs w:val="22"/>
          <w:lang w:eastAsia="en-US"/>
        </w:rPr>
        <w:t xml:space="preserve">für die Umsetzung des Vorhabens </w:t>
      </w:r>
      <w:r w:rsidR="00714B11" w:rsidRPr="000E5A31">
        <w:rPr>
          <w:rFonts w:eastAsia="Calibri" w:cs="Arial"/>
          <w:szCs w:val="22"/>
          <w:lang w:eastAsia="en-US"/>
        </w:rPr>
        <w:t>relevant</w:t>
      </w:r>
      <w:r w:rsidR="00450DA5" w:rsidRPr="000E5A31">
        <w:rPr>
          <w:rFonts w:eastAsia="Calibri" w:cs="Arial"/>
          <w:szCs w:val="22"/>
          <w:lang w:eastAsia="en-US"/>
        </w:rPr>
        <w:t xml:space="preserve"> </w:t>
      </w:r>
      <w:r w:rsidR="00693CC7" w:rsidRPr="000E5A31">
        <w:rPr>
          <w:rFonts w:eastAsia="Calibri" w:cs="Arial"/>
          <w:szCs w:val="22"/>
          <w:lang w:eastAsia="en-US"/>
        </w:rPr>
        <w:t>sind</w:t>
      </w:r>
      <w:r w:rsidR="00450DA5" w:rsidRPr="000E5A31">
        <w:rPr>
          <w:rFonts w:eastAsia="Calibri" w:cs="Arial"/>
          <w:szCs w:val="22"/>
          <w:lang w:eastAsia="en-US"/>
        </w:rPr>
        <w:t xml:space="preserve"> und somit eigentlich ei</w:t>
      </w:r>
      <w:r w:rsidR="00450DA5" w:rsidRPr="000E5A31">
        <w:rPr>
          <w:rFonts w:eastAsia="Calibri" w:cs="Arial"/>
          <w:szCs w:val="22"/>
          <w:lang w:eastAsia="en-US"/>
        </w:rPr>
        <w:t>n</w:t>
      </w:r>
      <w:r w:rsidR="00450DA5" w:rsidRPr="000E5A31">
        <w:rPr>
          <w:rFonts w:eastAsia="Calibri" w:cs="Arial"/>
          <w:szCs w:val="22"/>
          <w:lang w:eastAsia="en-US"/>
        </w:rPr>
        <w:t>gebunden werden müssten</w:t>
      </w:r>
      <w:r w:rsidR="00401827" w:rsidRPr="000E5A31">
        <w:rPr>
          <w:rFonts w:eastAsia="Calibri" w:cs="Arial"/>
          <w:szCs w:val="22"/>
          <w:lang w:eastAsia="en-US"/>
        </w:rPr>
        <w:t xml:space="preserve"> – weit </w:t>
      </w:r>
      <w:r w:rsidR="00693CC7" w:rsidRPr="000E5A31">
        <w:rPr>
          <w:rFonts w:eastAsia="Calibri" w:cs="Arial"/>
          <w:szCs w:val="22"/>
          <w:lang w:eastAsia="en-US"/>
        </w:rPr>
        <w:t>mehr, als in der Antragsphase ersichtlich. Das tägliche A</w:t>
      </w:r>
      <w:r w:rsidR="00693CC7" w:rsidRPr="000E5A31">
        <w:rPr>
          <w:rFonts w:eastAsia="Calibri" w:cs="Arial"/>
          <w:szCs w:val="22"/>
          <w:lang w:eastAsia="en-US"/>
        </w:rPr>
        <w:t>r</w:t>
      </w:r>
      <w:r w:rsidR="00693CC7" w:rsidRPr="000E5A31">
        <w:rPr>
          <w:rFonts w:eastAsia="Calibri" w:cs="Arial"/>
          <w:szCs w:val="22"/>
          <w:lang w:eastAsia="en-US"/>
        </w:rPr>
        <w:t>beiten in 3 Sprachen erhöht noch einmal den Zeitaufwand für d</w:t>
      </w:r>
      <w:r w:rsidR="008E514B" w:rsidRPr="000E5A31">
        <w:rPr>
          <w:rFonts w:eastAsia="Calibri" w:cs="Arial"/>
          <w:szCs w:val="22"/>
          <w:lang w:eastAsia="en-US"/>
        </w:rPr>
        <w:t>ie Kommunikation</w:t>
      </w:r>
      <w:r w:rsidR="00693CC7" w:rsidRPr="000E5A31">
        <w:rPr>
          <w:rFonts w:eastAsia="Calibri" w:cs="Arial"/>
          <w:szCs w:val="22"/>
          <w:lang w:eastAsia="en-US"/>
        </w:rPr>
        <w:t>.</w:t>
      </w:r>
    </w:p>
    <w:p w:rsidR="00693CC7" w:rsidRPr="000E5A31" w:rsidRDefault="00693CC7" w:rsidP="00693CC7">
      <w:pPr>
        <w:spacing w:after="120"/>
        <w:rPr>
          <w:rFonts w:eastAsia="Calibri" w:cs="Arial"/>
          <w:szCs w:val="22"/>
          <w:lang w:eastAsia="en-US"/>
        </w:rPr>
      </w:pPr>
    </w:p>
    <w:p w:rsidR="00693CC7" w:rsidRPr="000E5A31" w:rsidRDefault="00C85B6B" w:rsidP="00693CC7">
      <w:pPr>
        <w:spacing w:after="120"/>
        <w:contextualSpacing/>
        <w:rPr>
          <w:rFonts w:eastAsia="Calibri" w:cs="Arial"/>
          <w:szCs w:val="22"/>
          <w:lang w:eastAsia="en-US"/>
        </w:rPr>
      </w:pPr>
      <w:r w:rsidRPr="000E5A31">
        <w:rPr>
          <w:rFonts w:eastAsia="Calibri" w:cs="Arial"/>
          <w:szCs w:val="22"/>
          <w:lang w:eastAsia="en-US"/>
        </w:rPr>
        <w:t>Personelle Unterausstattung und schwierige Personalgewinnung:</w:t>
      </w:r>
      <w:r w:rsidR="008E514B" w:rsidRPr="000E5A31">
        <w:rPr>
          <w:rFonts w:eastAsia="Calibri" w:cs="Arial"/>
          <w:b/>
          <w:szCs w:val="22"/>
          <w:lang w:eastAsia="en-US"/>
        </w:rPr>
        <w:t xml:space="preserve"> </w:t>
      </w:r>
      <w:r w:rsidR="00693CC7" w:rsidRPr="000E5A31">
        <w:rPr>
          <w:rFonts w:eastAsia="Calibri" w:cs="Arial"/>
          <w:szCs w:val="22"/>
          <w:lang w:eastAsia="en-US"/>
        </w:rPr>
        <w:t>Die ursprünglich vorges</w:t>
      </w:r>
      <w:r w:rsidR="00693CC7" w:rsidRPr="000E5A31">
        <w:rPr>
          <w:rFonts w:eastAsia="Calibri" w:cs="Arial"/>
          <w:szCs w:val="22"/>
          <w:lang w:eastAsia="en-US"/>
        </w:rPr>
        <w:t>e</w:t>
      </w:r>
      <w:r w:rsidR="00693CC7" w:rsidRPr="000E5A31">
        <w:rPr>
          <w:rFonts w:eastAsia="Calibri" w:cs="Arial"/>
          <w:szCs w:val="22"/>
          <w:lang w:eastAsia="en-US"/>
        </w:rPr>
        <w:t xml:space="preserve">hene Personalausstattung (1 AMA, 1 IMA, 5 NFK) an 5 verschiedenen Standorten erwies sich rasch als unzureichend. Die notwendige personelle Nachjustierung </w:t>
      </w:r>
      <w:r w:rsidR="008E514B" w:rsidRPr="000E5A31">
        <w:rPr>
          <w:rFonts w:eastAsia="Calibri" w:cs="Arial"/>
          <w:szCs w:val="22"/>
          <w:lang w:eastAsia="en-US"/>
        </w:rPr>
        <w:t xml:space="preserve">wurde in Absprache mit dem Auftraggeber zügig angegangen </w:t>
      </w:r>
      <w:r w:rsidR="00693CC7" w:rsidRPr="000E5A31">
        <w:rPr>
          <w:rFonts w:eastAsia="Calibri" w:cs="Arial"/>
          <w:szCs w:val="22"/>
          <w:lang w:eastAsia="en-US"/>
        </w:rPr>
        <w:t>und kann mit der Einstellung zweiter AMAs im La</w:t>
      </w:r>
      <w:r w:rsidR="00693CC7" w:rsidRPr="000E5A31">
        <w:rPr>
          <w:rFonts w:eastAsia="Calibri" w:cs="Arial"/>
          <w:szCs w:val="22"/>
          <w:lang w:eastAsia="en-US"/>
        </w:rPr>
        <w:t>u</w:t>
      </w:r>
      <w:r w:rsidR="00693CC7" w:rsidRPr="000E5A31">
        <w:rPr>
          <w:rFonts w:eastAsia="Calibri" w:cs="Arial"/>
          <w:szCs w:val="22"/>
          <w:lang w:eastAsia="en-US"/>
        </w:rPr>
        <w:t>fe des Sommers als abgeschlossen betrachtet werden.</w:t>
      </w:r>
      <w:r w:rsidR="008E514B" w:rsidRPr="000E5A31">
        <w:rPr>
          <w:rFonts w:eastAsia="Calibri" w:cs="Arial"/>
          <w:szCs w:val="22"/>
          <w:lang w:eastAsia="en-US"/>
        </w:rPr>
        <w:t xml:space="preserve"> </w:t>
      </w:r>
      <w:r w:rsidR="00693CC7" w:rsidRPr="000E5A31">
        <w:rPr>
          <w:rFonts w:eastAsia="Calibri" w:cs="Arial"/>
          <w:szCs w:val="22"/>
          <w:lang w:eastAsia="en-US"/>
        </w:rPr>
        <w:t xml:space="preserve">Es erweist sich </w:t>
      </w:r>
      <w:r w:rsidR="008E514B" w:rsidRPr="000E5A31">
        <w:rPr>
          <w:rFonts w:eastAsia="Calibri" w:cs="Arial"/>
          <w:szCs w:val="22"/>
          <w:lang w:eastAsia="en-US"/>
        </w:rPr>
        <w:t xml:space="preserve">jedoch </w:t>
      </w:r>
      <w:r w:rsidR="00693CC7" w:rsidRPr="000E5A31">
        <w:rPr>
          <w:rFonts w:eastAsia="Calibri" w:cs="Arial"/>
          <w:szCs w:val="22"/>
          <w:lang w:eastAsia="en-US"/>
        </w:rPr>
        <w:t xml:space="preserve">als überaus schwierig, berufserfahrene </w:t>
      </w:r>
      <w:r w:rsidR="00F91D83" w:rsidRPr="000E5A31">
        <w:rPr>
          <w:rFonts w:eastAsia="Calibri" w:cs="Arial"/>
          <w:szCs w:val="22"/>
          <w:lang w:eastAsia="en-US"/>
        </w:rPr>
        <w:t xml:space="preserve">dreisprachige </w:t>
      </w:r>
      <w:r w:rsidR="00693CC7" w:rsidRPr="000E5A31">
        <w:rPr>
          <w:rFonts w:eastAsia="Calibri" w:cs="Arial"/>
          <w:szCs w:val="22"/>
          <w:lang w:eastAsia="en-US"/>
        </w:rPr>
        <w:t xml:space="preserve">Mitarbeiter zu gewinnen, die sowohl mit RE/EE bzw. NaWi Themen als auch mit EZ Strukturen und GIZ Verfahren vertraut sind. </w:t>
      </w:r>
      <w:r w:rsidR="00F91D83" w:rsidRPr="000E5A31">
        <w:rPr>
          <w:rFonts w:eastAsia="Calibri" w:cs="Arial"/>
          <w:szCs w:val="22"/>
          <w:lang w:eastAsia="en-US"/>
        </w:rPr>
        <w:t>Im frank</w:t>
      </w:r>
      <w:r w:rsidR="00F91D83" w:rsidRPr="000E5A31">
        <w:rPr>
          <w:rFonts w:eastAsia="Calibri" w:cs="Arial"/>
          <w:szCs w:val="22"/>
          <w:lang w:eastAsia="en-US"/>
        </w:rPr>
        <w:t>o</w:t>
      </w:r>
      <w:r w:rsidR="00F91D83" w:rsidRPr="000E5A31">
        <w:rPr>
          <w:rFonts w:eastAsia="Calibri" w:cs="Arial"/>
          <w:szCs w:val="22"/>
          <w:lang w:eastAsia="en-US"/>
        </w:rPr>
        <w:t>phonen Maghreb sind a</w:t>
      </w:r>
      <w:r w:rsidR="00693CC7" w:rsidRPr="000E5A31">
        <w:rPr>
          <w:rFonts w:eastAsia="Calibri" w:cs="Arial"/>
          <w:szCs w:val="22"/>
          <w:lang w:eastAsia="en-US"/>
        </w:rPr>
        <w:t>nglophone Energieexperten eine kleine Elite</w:t>
      </w:r>
      <w:r w:rsidR="00F91D83" w:rsidRPr="000E5A31">
        <w:rPr>
          <w:rFonts w:eastAsia="Calibri" w:cs="Arial"/>
          <w:szCs w:val="22"/>
          <w:lang w:eastAsia="en-US"/>
        </w:rPr>
        <w:t>, die</w:t>
      </w:r>
      <w:r w:rsidR="00693CC7" w:rsidRPr="000E5A31">
        <w:rPr>
          <w:rFonts w:eastAsia="Calibri" w:cs="Arial"/>
          <w:szCs w:val="22"/>
          <w:lang w:eastAsia="en-US"/>
        </w:rPr>
        <w:t xml:space="preserve"> auch von internat</w:t>
      </w:r>
      <w:r w:rsidR="00693CC7" w:rsidRPr="000E5A31">
        <w:rPr>
          <w:rFonts w:eastAsia="Calibri" w:cs="Arial"/>
          <w:szCs w:val="22"/>
          <w:lang w:eastAsia="en-US"/>
        </w:rPr>
        <w:t>i</w:t>
      </w:r>
      <w:r w:rsidR="00693CC7" w:rsidRPr="000E5A31">
        <w:rPr>
          <w:rFonts w:eastAsia="Calibri" w:cs="Arial"/>
          <w:szCs w:val="22"/>
          <w:lang w:eastAsia="en-US"/>
        </w:rPr>
        <w:t xml:space="preserve">onalen Organisationen und Konzernen </w:t>
      </w:r>
      <w:r w:rsidR="00F91D83" w:rsidRPr="000E5A31">
        <w:rPr>
          <w:rFonts w:eastAsia="Calibri" w:cs="Arial"/>
          <w:szCs w:val="22"/>
          <w:lang w:eastAsia="en-US"/>
        </w:rPr>
        <w:t xml:space="preserve">stark </w:t>
      </w:r>
      <w:r w:rsidR="00693CC7" w:rsidRPr="000E5A31">
        <w:rPr>
          <w:rFonts w:eastAsia="Calibri" w:cs="Arial"/>
          <w:szCs w:val="22"/>
          <w:lang w:eastAsia="en-US"/>
        </w:rPr>
        <w:t>umworben</w:t>
      </w:r>
      <w:r w:rsidR="00F91D83" w:rsidRPr="000E5A31">
        <w:rPr>
          <w:rFonts w:eastAsia="Calibri" w:cs="Arial"/>
          <w:szCs w:val="22"/>
          <w:lang w:eastAsia="en-US"/>
        </w:rPr>
        <w:t xml:space="preserve"> wird</w:t>
      </w:r>
      <w:r w:rsidR="00693CC7" w:rsidRPr="000E5A31">
        <w:rPr>
          <w:rFonts w:eastAsia="Calibri" w:cs="Arial"/>
          <w:szCs w:val="22"/>
          <w:lang w:eastAsia="en-US"/>
        </w:rPr>
        <w:t>. Die Lage im Inland ist ve</w:t>
      </w:r>
      <w:r w:rsidR="00693CC7" w:rsidRPr="000E5A31">
        <w:rPr>
          <w:rFonts w:eastAsia="Calibri" w:cs="Arial"/>
          <w:szCs w:val="22"/>
          <w:lang w:eastAsia="en-US"/>
        </w:rPr>
        <w:t>r</w:t>
      </w:r>
      <w:r w:rsidR="00693CC7" w:rsidRPr="000E5A31">
        <w:rPr>
          <w:rFonts w:eastAsia="Calibri" w:cs="Arial"/>
          <w:szCs w:val="22"/>
          <w:lang w:eastAsia="en-US"/>
        </w:rPr>
        <w:t>gleichbar: auch hier gibt es einen starken Wettbewerb um die wenigen frankophone</w:t>
      </w:r>
      <w:r w:rsidR="00FC0BB3">
        <w:rPr>
          <w:rFonts w:eastAsia="Calibri" w:cs="Arial"/>
          <w:szCs w:val="22"/>
          <w:lang w:eastAsia="en-US"/>
        </w:rPr>
        <w:t>n</w:t>
      </w:r>
      <w:r w:rsidR="00693CC7" w:rsidRPr="000E5A31">
        <w:rPr>
          <w:rFonts w:eastAsia="Calibri" w:cs="Arial"/>
          <w:szCs w:val="22"/>
          <w:lang w:eastAsia="en-US"/>
        </w:rPr>
        <w:t xml:space="preserve"> Ene</w:t>
      </w:r>
      <w:r w:rsidR="00693CC7" w:rsidRPr="000E5A31">
        <w:rPr>
          <w:rFonts w:eastAsia="Calibri" w:cs="Arial"/>
          <w:szCs w:val="22"/>
          <w:lang w:eastAsia="en-US"/>
        </w:rPr>
        <w:t>r</w:t>
      </w:r>
      <w:r w:rsidR="00693CC7" w:rsidRPr="000E5A31">
        <w:rPr>
          <w:rFonts w:eastAsia="Calibri" w:cs="Arial"/>
          <w:szCs w:val="22"/>
          <w:lang w:eastAsia="en-US"/>
        </w:rPr>
        <w:t xml:space="preserve">gieexperten. Da sich unter </w:t>
      </w:r>
      <w:r w:rsidR="00F91D83" w:rsidRPr="000E5A31">
        <w:rPr>
          <w:rFonts w:eastAsia="Calibri" w:cs="Arial"/>
          <w:szCs w:val="22"/>
          <w:lang w:eastAsia="en-US"/>
        </w:rPr>
        <w:t>d</w:t>
      </w:r>
      <w:r w:rsidR="00693CC7" w:rsidRPr="000E5A31">
        <w:rPr>
          <w:rFonts w:eastAsia="Calibri" w:cs="Arial"/>
          <w:szCs w:val="22"/>
          <w:lang w:eastAsia="en-US"/>
        </w:rPr>
        <w:t xml:space="preserve">en eingegangenen Bewerbungen keine einzige interne </w:t>
      </w:r>
      <w:r w:rsidR="00F91D83" w:rsidRPr="000E5A31">
        <w:rPr>
          <w:rFonts w:eastAsia="Calibri" w:cs="Arial"/>
          <w:szCs w:val="22"/>
          <w:lang w:eastAsia="en-US"/>
        </w:rPr>
        <w:t>fand, musste</w:t>
      </w:r>
      <w:r w:rsidR="00693CC7" w:rsidRPr="000E5A31">
        <w:rPr>
          <w:rFonts w:eastAsia="Calibri" w:cs="Arial"/>
          <w:szCs w:val="22"/>
          <w:lang w:eastAsia="en-US"/>
        </w:rPr>
        <w:t xml:space="preserve"> das Vorhaben an allen Standorten zugleich von und mit GIZ „Einsteigern“ aufgebaut wer</w:t>
      </w:r>
      <w:r w:rsidR="00F91D83" w:rsidRPr="000E5A31">
        <w:rPr>
          <w:rFonts w:eastAsia="Calibri" w:cs="Arial"/>
          <w:szCs w:val="22"/>
          <w:lang w:eastAsia="en-US"/>
        </w:rPr>
        <w:t>den</w:t>
      </w:r>
      <w:r w:rsidR="00693CC7" w:rsidRPr="000E5A31">
        <w:rPr>
          <w:rFonts w:eastAsia="Calibri" w:cs="Arial"/>
          <w:szCs w:val="22"/>
          <w:lang w:eastAsia="en-US"/>
        </w:rPr>
        <w:t>, die gerade in der Anfangsphase ein hohes Maß an Betreuung erfordern.</w:t>
      </w:r>
    </w:p>
    <w:p w:rsidR="00693CC7" w:rsidRPr="000E5A31" w:rsidRDefault="00693CC7" w:rsidP="008F36A4">
      <w:pPr>
        <w:spacing w:after="120"/>
        <w:rPr>
          <w:rFonts w:eastAsia="Calibri" w:cs="Arial"/>
          <w:szCs w:val="22"/>
          <w:lang w:eastAsia="en-US"/>
        </w:rPr>
      </w:pPr>
    </w:p>
    <w:p w:rsidR="00AA0B46" w:rsidRPr="000E5A31" w:rsidRDefault="00C85B6B" w:rsidP="00EA5684">
      <w:pPr>
        <w:spacing w:after="120"/>
        <w:rPr>
          <w:szCs w:val="20"/>
        </w:rPr>
      </w:pPr>
      <w:r w:rsidRPr="000E5A31">
        <w:rPr>
          <w:rFonts w:eastAsia="Calibri" w:cs="Arial"/>
          <w:szCs w:val="22"/>
          <w:lang w:eastAsia="en-US"/>
        </w:rPr>
        <w:lastRenderedPageBreak/>
        <w:t>Neuorientierung des Vorhabens auf Wunsch des BMZ:</w:t>
      </w:r>
      <w:r w:rsidR="00714B11" w:rsidRPr="000E5A31">
        <w:rPr>
          <w:rFonts w:eastAsia="Calibri" w:cs="Arial"/>
          <w:szCs w:val="22"/>
          <w:lang w:eastAsia="en-US"/>
        </w:rPr>
        <w:t xml:space="preserve"> </w:t>
      </w:r>
      <w:r w:rsidR="001E725F" w:rsidRPr="000E5A31">
        <w:rPr>
          <w:rFonts w:eastAsia="Calibri" w:cs="Arial"/>
          <w:szCs w:val="22"/>
          <w:lang w:eastAsia="en-US"/>
        </w:rPr>
        <w:t>Aufgrund von Verzögerungen in der Projektumsetzung sowie a</w:t>
      </w:r>
      <w:r w:rsidR="00714B11" w:rsidRPr="000E5A31">
        <w:rPr>
          <w:rFonts w:eastAsia="Calibri" w:cs="Arial"/>
          <w:szCs w:val="22"/>
          <w:lang w:eastAsia="en-US"/>
        </w:rPr>
        <w:t>ngesichts veränderte</w:t>
      </w:r>
      <w:r w:rsidR="001E725F" w:rsidRPr="000E5A31">
        <w:rPr>
          <w:rFonts w:eastAsia="Calibri" w:cs="Arial"/>
          <w:szCs w:val="22"/>
          <w:lang w:eastAsia="en-US"/>
        </w:rPr>
        <w:t>r</w:t>
      </w:r>
      <w:r w:rsidR="00714B11" w:rsidRPr="000E5A31">
        <w:rPr>
          <w:rFonts w:eastAsia="Calibri" w:cs="Arial"/>
          <w:szCs w:val="22"/>
          <w:lang w:eastAsia="en-US"/>
        </w:rPr>
        <w:t xml:space="preserve"> Rahmenbedingungen sowohl vor Ort als auch im Inland (v.a. </w:t>
      </w:r>
      <w:r w:rsidR="001E725F" w:rsidRPr="000E5A31">
        <w:rPr>
          <w:rFonts w:eastAsia="Calibri" w:cs="Arial"/>
          <w:szCs w:val="22"/>
          <w:lang w:eastAsia="en-US"/>
        </w:rPr>
        <w:t>inf</w:t>
      </w:r>
      <w:r w:rsidR="00714B11" w:rsidRPr="000E5A31">
        <w:rPr>
          <w:rFonts w:eastAsia="Calibri" w:cs="Arial"/>
          <w:szCs w:val="22"/>
          <w:lang w:eastAsia="en-US"/>
        </w:rPr>
        <w:t>olge der Umstrukturierung der Bundesressorts</w:t>
      </w:r>
      <w:r w:rsidR="001E725F" w:rsidRPr="000E5A31">
        <w:rPr>
          <w:rFonts w:eastAsia="Calibri" w:cs="Arial"/>
          <w:szCs w:val="22"/>
          <w:lang w:eastAsia="en-US"/>
        </w:rPr>
        <w:t>)</w:t>
      </w:r>
      <w:r w:rsidR="00714B11" w:rsidRPr="000E5A31">
        <w:rPr>
          <w:rFonts w:eastAsia="Calibri" w:cs="Arial"/>
          <w:szCs w:val="22"/>
          <w:lang w:eastAsia="en-US"/>
        </w:rPr>
        <w:t xml:space="preserve"> wurde im Rahmen zweier Auftragsklä</w:t>
      </w:r>
      <w:r w:rsidR="001E725F" w:rsidRPr="000E5A31">
        <w:rPr>
          <w:rFonts w:eastAsia="Calibri" w:cs="Arial"/>
          <w:szCs w:val="22"/>
          <w:lang w:eastAsia="en-US"/>
        </w:rPr>
        <w:t xml:space="preserve">rungsgespräche </w:t>
      </w:r>
      <w:r w:rsidR="00714B11" w:rsidRPr="000E5A31">
        <w:rPr>
          <w:szCs w:val="20"/>
        </w:rPr>
        <w:t xml:space="preserve">am 15.12.2014 und 15.03.2015 </w:t>
      </w:r>
      <w:r w:rsidR="00714B11" w:rsidRPr="000E5A31">
        <w:rPr>
          <w:rFonts w:eastAsia="Calibri" w:cs="Arial"/>
          <w:szCs w:val="22"/>
          <w:lang w:eastAsia="en-US"/>
        </w:rPr>
        <w:t>eine Anpassung der U</w:t>
      </w:r>
      <w:r w:rsidR="00714B11" w:rsidRPr="000E5A31">
        <w:rPr>
          <w:rFonts w:eastAsia="Calibri" w:cs="Arial"/>
          <w:szCs w:val="22"/>
          <w:lang w:eastAsia="en-US"/>
        </w:rPr>
        <w:t>m</w:t>
      </w:r>
      <w:r w:rsidR="00714B11" w:rsidRPr="000E5A31">
        <w:rPr>
          <w:rFonts w:eastAsia="Calibri" w:cs="Arial"/>
          <w:szCs w:val="22"/>
          <w:lang w:eastAsia="en-US"/>
        </w:rPr>
        <w:t>setzungsstruktur vereinbart.</w:t>
      </w:r>
      <w:r w:rsidR="00BB7249" w:rsidRPr="000E5A31">
        <w:rPr>
          <w:rFonts w:eastAsia="Calibri" w:cs="Arial"/>
          <w:szCs w:val="22"/>
          <w:lang w:eastAsia="en-US"/>
        </w:rPr>
        <w:t xml:space="preserve"> Diese sind Gegenstand eines einfachen Änderungsangebots. </w:t>
      </w:r>
    </w:p>
    <w:p w:rsidR="00836FF6" w:rsidRPr="000E5A31" w:rsidRDefault="00836FF6" w:rsidP="008F36A4">
      <w:pPr>
        <w:spacing w:after="120"/>
        <w:rPr>
          <w:rFonts w:cs="Arial"/>
          <w:szCs w:val="22"/>
        </w:rPr>
      </w:pPr>
    </w:p>
    <w:p w:rsidR="00415D96" w:rsidRPr="000E5A31" w:rsidRDefault="00B6253F" w:rsidP="000C5AD2">
      <w:pPr>
        <w:pStyle w:val="berschrift2"/>
        <w:rPr>
          <w:b/>
          <w:i/>
        </w:rPr>
      </w:pPr>
      <w:bookmarkStart w:id="13" w:name="_Toc396989041"/>
      <w:r w:rsidRPr="000E5A31">
        <w:rPr>
          <w:b/>
          <w:i/>
        </w:rPr>
        <w:t>B</w:t>
      </w:r>
      <w:r w:rsidR="00836FF6" w:rsidRPr="000E5A31">
        <w:rPr>
          <w:b/>
          <w:i/>
        </w:rPr>
        <w:t>.2</w:t>
      </w:r>
      <w:r w:rsidR="00415D96" w:rsidRPr="000E5A31">
        <w:rPr>
          <w:b/>
          <w:i/>
        </w:rPr>
        <w:t>.</w:t>
      </w:r>
      <w:r w:rsidR="00836FF6" w:rsidRPr="000E5A31">
        <w:rPr>
          <w:b/>
          <w:i/>
        </w:rPr>
        <w:t>2</w:t>
      </w:r>
      <w:r w:rsidR="00415D96" w:rsidRPr="000E5A31">
        <w:rPr>
          <w:b/>
          <w:i/>
        </w:rPr>
        <w:tab/>
      </w:r>
      <w:r w:rsidR="00836FF6" w:rsidRPr="000E5A31">
        <w:rPr>
          <w:b/>
          <w:i/>
        </w:rPr>
        <w:t>Zielgruppen, Träger- und Partnerstruktur</w:t>
      </w:r>
      <w:bookmarkEnd w:id="13"/>
    </w:p>
    <w:p w:rsidR="00C41832" w:rsidRPr="000E5A31" w:rsidRDefault="00C41832" w:rsidP="00C41832">
      <w:pPr>
        <w:autoSpaceDE w:val="0"/>
        <w:autoSpaceDN w:val="0"/>
        <w:adjustRightInd w:val="0"/>
        <w:spacing w:after="120"/>
        <w:rPr>
          <w:rFonts w:cs="Arial"/>
          <w:szCs w:val="22"/>
        </w:rPr>
      </w:pPr>
      <w:r w:rsidRPr="000E5A31">
        <w:rPr>
          <w:rFonts w:cs="Arial"/>
          <w:szCs w:val="22"/>
        </w:rPr>
        <w:t xml:space="preserve">Das Regionalvorhaben </w:t>
      </w:r>
      <w:r w:rsidR="003B033B" w:rsidRPr="000E5A31">
        <w:rPr>
          <w:rFonts w:cs="Arial"/>
          <w:szCs w:val="22"/>
        </w:rPr>
        <w:t xml:space="preserve">RE-ACTIVATE </w:t>
      </w:r>
      <w:r w:rsidRPr="000E5A31">
        <w:rPr>
          <w:rFonts w:cs="Arial"/>
          <w:szCs w:val="22"/>
        </w:rPr>
        <w:t>wird ohne politischen Träger durchgeführt.</w:t>
      </w:r>
    </w:p>
    <w:p w:rsidR="00C41832" w:rsidRPr="000E5A31" w:rsidRDefault="00C41832" w:rsidP="00C41832">
      <w:pPr>
        <w:autoSpaceDE w:val="0"/>
        <w:autoSpaceDN w:val="0"/>
        <w:adjustRightInd w:val="0"/>
        <w:spacing w:after="120"/>
        <w:rPr>
          <w:rFonts w:eastAsia="Calibri" w:cs="Arial"/>
          <w:szCs w:val="22"/>
          <w:lang w:eastAsia="en-US"/>
        </w:rPr>
      </w:pPr>
      <w:r w:rsidRPr="000E5A31">
        <w:rPr>
          <w:rFonts w:cs="Arial"/>
          <w:szCs w:val="22"/>
        </w:rPr>
        <w:t xml:space="preserve">Aufgrund der o.g. Kernprinzipien des </w:t>
      </w:r>
      <w:r w:rsidR="009D2D71" w:rsidRPr="000E5A31">
        <w:rPr>
          <w:rFonts w:cs="Arial"/>
          <w:szCs w:val="22"/>
        </w:rPr>
        <w:t>A</w:t>
      </w:r>
      <w:r w:rsidRPr="000E5A31">
        <w:rPr>
          <w:rFonts w:cs="Arial"/>
          <w:szCs w:val="22"/>
        </w:rPr>
        <w:t>nsatzes (</w:t>
      </w:r>
      <w:r w:rsidRPr="000E5A31">
        <w:rPr>
          <w:rFonts w:eastAsia="Calibri" w:cs="Arial"/>
          <w:szCs w:val="22"/>
          <w:lang w:eastAsia="en-US"/>
        </w:rPr>
        <w:t>Subsidiarität,</w:t>
      </w:r>
      <w:r w:rsidRPr="000E5A31">
        <w:rPr>
          <w:rFonts w:cs="Arial"/>
          <w:szCs w:val="22"/>
        </w:rPr>
        <w:t xml:space="preserve"> Komplementarität, </w:t>
      </w:r>
      <w:r w:rsidR="00714B11" w:rsidRPr="000E5A31">
        <w:rPr>
          <w:rFonts w:cs="Arial"/>
          <w:szCs w:val="22"/>
        </w:rPr>
        <w:t>s</w:t>
      </w:r>
      <w:r w:rsidR="00714B11" w:rsidRPr="000E5A31">
        <w:rPr>
          <w:rFonts w:eastAsia="Calibri" w:cs="Arial"/>
          <w:szCs w:val="22"/>
          <w:lang w:eastAsia="en-US"/>
        </w:rPr>
        <w:t>ynerget</w:t>
      </w:r>
      <w:r w:rsidR="00714B11" w:rsidRPr="000E5A31">
        <w:rPr>
          <w:rFonts w:eastAsia="Calibri" w:cs="Arial"/>
          <w:szCs w:val="22"/>
          <w:lang w:eastAsia="en-US"/>
        </w:rPr>
        <w:t>i</w:t>
      </w:r>
      <w:r w:rsidR="00714B11" w:rsidRPr="000E5A31">
        <w:rPr>
          <w:rFonts w:eastAsia="Calibri" w:cs="Arial"/>
          <w:szCs w:val="22"/>
          <w:lang w:eastAsia="en-US"/>
        </w:rPr>
        <w:t>sches</w:t>
      </w:r>
      <w:r w:rsidR="008F05BF" w:rsidRPr="000E5A31">
        <w:rPr>
          <w:rFonts w:eastAsia="Calibri" w:cs="Arial"/>
          <w:szCs w:val="22"/>
          <w:lang w:eastAsia="en-US"/>
        </w:rPr>
        <w:t xml:space="preserve"> Arbeite</w:t>
      </w:r>
      <w:r w:rsidR="00BB7249" w:rsidRPr="000E5A31">
        <w:rPr>
          <w:rFonts w:eastAsia="Calibri" w:cs="Arial"/>
          <w:szCs w:val="22"/>
          <w:lang w:eastAsia="en-US"/>
        </w:rPr>
        <w:t>n</w:t>
      </w:r>
      <w:r w:rsidRPr="000E5A31">
        <w:rPr>
          <w:rFonts w:eastAsia="Calibri" w:cs="Arial"/>
          <w:szCs w:val="22"/>
          <w:lang w:eastAsia="en-US"/>
        </w:rPr>
        <w:t xml:space="preserve">), die sich ihrerseits </w:t>
      </w:r>
      <w:r w:rsidR="008F05BF" w:rsidRPr="000E5A31">
        <w:rPr>
          <w:rFonts w:eastAsia="Calibri" w:cs="Arial"/>
          <w:szCs w:val="22"/>
          <w:lang w:eastAsia="en-US"/>
        </w:rPr>
        <w:t>nahtlos</w:t>
      </w:r>
      <w:r w:rsidRPr="000E5A31">
        <w:rPr>
          <w:rFonts w:eastAsia="Calibri" w:cs="Arial"/>
          <w:szCs w:val="22"/>
          <w:lang w:eastAsia="en-US"/>
        </w:rPr>
        <w:t xml:space="preserve"> mit der dezentralen Netzwerkstruktur des Vorh</w:t>
      </w:r>
      <w:r w:rsidRPr="000E5A31">
        <w:rPr>
          <w:rFonts w:eastAsia="Calibri" w:cs="Arial"/>
          <w:szCs w:val="22"/>
          <w:lang w:eastAsia="en-US"/>
        </w:rPr>
        <w:t>a</w:t>
      </w:r>
      <w:r w:rsidRPr="000E5A31">
        <w:rPr>
          <w:rFonts w:eastAsia="Calibri" w:cs="Arial"/>
          <w:szCs w:val="22"/>
          <w:lang w:eastAsia="en-US"/>
        </w:rPr>
        <w:t xml:space="preserve">bens verknüpfen lassen, strebt RE-ACTIVATE eine möglichst enge </w:t>
      </w:r>
      <w:r w:rsidR="008F05BF" w:rsidRPr="000E5A31">
        <w:rPr>
          <w:rFonts w:eastAsia="Calibri" w:cs="Arial"/>
          <w:szCs w:val="22"/>
          <w:lang w:eastAsia="en-US"/>
        </w:rPr>
        <w:t xml:space="preserve">An- und Einbindung </w:t>
      </w:r>
      <w:r w:rsidRPr="000E5A31">
        <w:rPr>
          <w:rFonts w:eastAsia="Calibri" w:cs="Arial"/>
          <w:szCs w:val="22"/>
          <w:lang w:eastAsia="en-US"/>
        </w:rPr>
        <w:t xml:space="preserve">an </w:t>
      </w:r>
      <w:r w:rsidR="008F05BF" w:rsidRPr="000E5A31">
        <w:rPr>
          <w:rFonts w:eastAsia="Calibri" w:cs="Arial"/>
          <w:szCs w:val="22"/>
          <w:lang w:eastAsia="en-US"/>
        </w:rPr>
        <w:t xml:space="preserve">bzw. in </w:t>
      </w:r>
      <w:r w:rsidRPr="000E5A31">
        <w:rPr>
          <w:rFonts w:eastAsia="Calibri" w:cs="Arial"/>
          <w:szCs w:val="22"/>
          <w:lang w:eastAsia="en-US"/>
        </w:rPr>
        <w:t>die existierende Partner- und Projektstruktur der deut</w:t>
      </w:r>
      <w:r w:rsidR="008F05BF" w:rsidRPr="000E5A31">
        <w:rPr>
          <w:rFonts w:eastAsia="Calibri" w:cs="Arial"/>
          <w:szCs w:val="22"/>
          <w:lang w:eastAsia="en-US"/>
        </w:rPr>
        <w:t>s</w:t>
      </w:r>
      <w:r w:rsidRPr="000E5A31">
        <w:rPr>
          <w:rFonts w:eastAsia="Calibri" w:cs="Arial"/>
          <w:szCs w:val="22"/>
          <w:lang w:eastAsia="en-US"/>
        </w:rPr>
        <w:t xml:space="preserve">chen EZ/IZ </w:t>
      </w:r>
      <w:r w:rsidR="009D2D71" w:rsidRPr="000E5A31">
        <w:rPr>
          <w:rFonts w:eastAsia="Calibri" w:cs="Arial"/>
          <w:szCs w:val="22"/>
          <w:lang w:eastAsia="en-US"/>
        </w:rPr>
        <w:t xml:space="preserve">vor Ort </w:t>
      </w:r>
      <w:r w:rsidR="008F05BF" w:rsidRPr="000E5A31">
        <w:rPr>
          <w:rFonts w:eastAsia="Calibri" w:cs="Arial"/>
          <w:szCs w:val="22"/>
          <w:lang w:eastAsia="en-US"/>
        </w:rPr>
        <w:t>an</w:t>
      </w:r>
      <w:r w:rsidRPr="000E5A31">
        <w:rPr>
          <w:rFonts w:eastAsia="Calibri" w:cs="Arial"/>
          <w:szCs w:val="22"/>
          <w:lang w:eastAsia="en-US"/>
        </w:rPr>
        <w:t xml:space="preserve">. </w:t>
      </w:r>
      <w:r w:rsidR="00733065" w:rsidRPr="000E5A31">
        <w:rPr>
          <w:rFonts w:eastAsia="Calibri" w:cs="Arial"/>
          <w:szCs w:val="22"/>
          <w:lang w:eastAsia="en-US"/>
        </w:rPr>
        <w:t>D</w:t>
      </w:r>
      <w:r w:rsidR="008F05BF" w:rsidRPr="000E5A31">
        <w:rPr>
          <w:rFonts w:eastAsia="Calibri" w:cs="Arial"/>
          <w:szCs w:val="22"/>
          <w:lang w:eastAsia="en-US"/>
        </w:rPr>
        <w:t xml:space="preserve">ie Länder- und Regionalvorhaben der deutschen Außenstruktur im </w:t>
      </w:r>
      <w:r w:rsidR="000E5A31" w:rsidRPr="000E5A31">
        <w:rPr>
          <w:rFonts w:eastAsia="Calibri" w:cs="Arial"/>
          <w:szCs w:val="22"/>
          <w:lang w:eastAsia="en-US"/>
        </w:rPr>
        <w:t>Allgemeinen</w:t>
      </w:r>
      <w:r w:rsidR="008F05BF" w:rsidRPr="000E5A31">
        <w:rPr>
          <w:rFonts w:eastAsia="Calibri" w:cs="Arial"/>
          <w:szCs w:val="22"/>
          <w:lang w:eastAsia="en-US"/>
        </w:rPr>
        <w:t xml:space="preserve"> und </w:t>
      </w:r>
      <w:r w:rsidR="009D2D71" w:rsidRPr="000E5A31">
        <w:rPr>
          <w:rFonts w:eastAsia="Calibri" w:cs="Arial"/>
          <w:szCs w:val="22"/>
          <w:lang w:eastAsia="en-US"/>
        </w:rPr>
        <w:t xml:space="preserve">die </w:t>
      </w:r>
      <w:r w:rsidR="008F05BF" w:rsidRPr="000E5A31">
        <w:rPr>
          <w:rFonts w:eastAsia="Calibri" w:cs="Arial"/>
          <w:szCs w:val="22"/>
          <w:lang w:eastAsia="en-US"/>
        </w:rPr>
        <w:t xml:space="preserve">der GIZ im </w:t>
      </w:r>
      <w:r w:rsidR="00714B11" w:rsidRPr="000E5A31">
        <w:rPr>
          <w:rFonts w:eastAsia="Calibri" w:cs="Arial"/>
          <w:szCs w:val="22"/>
          <w:lang w:eastAsia="en-US"/>
        </w:rPr>
        <w:t>Besonderen</w:t>
      </w:r>
      <w:r w:rsidR="008F05BF" w:rsidRPr="000E5A31">
        <w:rPr>
          <w:rFonts w:eastAsia="Calibri" w:cs="Arial"/>
          <w:szCs w:val="22"/>
          <w:lang w:eastAsia="en-US"/>
        </w:rPr>
        <w:t xml:space="preserve"> sind ein „natürliche</w:t>
      </w:r>
      <w:r w:rsidR="00BB7249" w:rsidRPr="000E5A31">
        <w:rPr>
          <w:rFonts w:eastAsia="Calibri" w:cs="Arial"/>
          <w:szCs w:val="22"/>
          <w:lang w:eastAsia="en-US"/>
        </w:rPr>
        <w:t>r</w:t>
      </w:r>
      <w:r w:rsidR="008F05BF" w:rsidRPr="000E5A31">
        <w:rPr>
          <w:rFonts w:eastAsia="Calibri" w:cs="Arial"/>
          <w:szCs w:val="22"/>
          <w:lang w:eastAsia="en-US"/>
        </w:rPr>
        <w:t>“ erster Anlauf- und Bezugspunkt des Vorhabens. Dies erlaubt, die bereits</w:t>
      </w:r>
      <w:r w:rsidR="009D2D71" w:rsidRPr="000E5A31">
        <w:rPr>
          <w:rFonts w:eastAsia="Calibri" w:cs="Arial"/>
          <w:szCs w:val="22"/>
          <w:lang w:eastAsia="en-US"/>
        </w:rPr>
        <w:t xml:space="preserve"> existierenden </w:t>
      </w:r>
      <w:r w:rsidR="008F05BF" w:rsidRPr="000E5A31">
        <w:rPr>
          <w:rFonts w:eastAsia="Calibri" w:cs="Arial"/>
          <w:szCs w:val="22"/>
          <w:lang w:eastAsia="en-US"/>
        </w:rPr>
        <w:t>Kapazitäten in relevanten Themengebieten sowie die jewe</w:t>
      </w:r>
      <w:r w:rsidR="009D2D71" w:rsidRPr="000E5A31">
        <w:rPr>
          <w:rFonts w:eastAsia="Calibri" w:cs="Arial"/>
          <w:szCs w:val="22"/>
          <w:lang w:eastAsia="en-US"/>
        </w:rPr>
        <w:t>i</w:t>
      </w:r>
      <w:r w:rsidR="008F05BF" w:rsidRPr="000E5A31">
        <w:rPr>
          <w:rFonts w:eastAsia="Calibri" w:cs="Arial"/>
          <w:szCs w:val="22"/>
          <w:lang w:eastAsia="en-US"/>
        </w:rPr>
        <w:t xml:space="preserve">ligen Stärken </w:t>
      </w:r>
      <w:r w:rsidRPr="000E5A31">
        <w:rPr>
          <w:rFonts w:eastAsia="Calibri" w:cs="Arial"/>
          <w:szCs w:val="22"/>
          <w:lang w:eastAsia="en-US"/>
        </w:rPr>
        <w:t xml:space="preserve">und </w:t>
      </w:r>
      <w:r w:rsidR="008F05BF" w:rsidRPr="000E5A31">
        <w:rPr>
          <w:rFonts w:eastAsia="Calibri" w:cs="Arial"/>
          <w:szCs w:val="22"/>
          <w:lang w:eastAsia="en-US"/>
        </w:rPr>
        <w:t>Erfahrungen der deut</w:t>
      </w:r>
      <w:r w:rsidR="009D2D71" w:rsidRPr="000E5A31">
        <w:rPr>
          <w:rFonts w:eastAsia="Calibri" w:cs="Arial"/>
          <w:szCs w:val="22"/>
          <w:lang w:eastAsia="en-US"/>
        </w:rPr>
        <w:t>s</w:t>
      </w:r>
      <w:r w:rsidR="008F05BF" w:rsidRPr="000E5A31">
        <w:rPr>
          <w:rFonts w:eastAsia="Calibri" w:cs="Arial"/>
          <w:szCs w:val="22"/>
          <w:lang w:eastAsia="en-US"/>
        </w:rPr>
        <w:t xml:space="preserve">chen EZ/IZ und </w:t>
      </w:r>
      <w:r w:rsidR="009D2D71" w:rsidRPr="000E5A31">
        <w:rPr>
          <w:rFonts w:eastAsia="Calibri" w:cs="Arial"/>
          <w:szCs w:val="22"/>
          <w:lang w:eastAsia="en-US"/>
        </w:rPr>
        <w:t>ihrer</w:t>
      </w:r>
      <w:r w:rsidR="008F05BF" w:rsidRPr="000E5A31">
        <w:rPr>
          <w:rFonts w:eastAsia="Calibri" w:cs="Arial"/>
          <w:szCs w:val="22"/>
          <w:lang w:eastAsia="en-US"/>
        </w:rPr>
        <w:t xml:space="preserve"> </w:t>
      </w:r>
      <w:r w:rsidRPr="000E5A31">
        <w:rPr>
          <w:rFonts w:eastAsia="Calibri" w:cs="Arial"/>
          <w:szCs w:val="22"/>
          <w:lang w:eastAsia="en-US"/>
        </w:rPr>
        <w:t xml:space="preserve">MENA Partner </w:t>
      </w:r>
      <w:r w:rsidR="009D2D71" w:rsidRPr="000E5A31">
        <w:rPr>
          <w:rFonts w:eastAsia="Calibri" w:cs="Arial"/>
          <w:szCs w:val="22"/>
          <w:lang w:eastAsia="en-US"/>
        </w:rPr>
        <w:t xml:space="preserve">zu </w:t>
      </w:r>
      <w:r w:rsidR="008F05BF" w:rsidRPr="000E5A31">
        <w:rPr>
          <w:rFonts w:eastAsia="Calibri" w:cs="Arial"/>
          <w:szCs w:val="22"/>
          <w:lang w:eastAsia="en-US"/>
        </w:rPr>
        <w:t>nutzen</w:t>
      </w:r>
      <w:r w:rsidRPr="000E5A31">
        <w:rPr>
          <w:rFonts w:eastAsia="Calibri" w:cs="Arial"/>
          <w:szCs w:val="22"/>
          <w:lang w:eastAsia="en-US"/>
        </w:rPr>
        <w:t xml:space="preserve">; </w:t>
      </w:r>
      <w:r w:rsidR="00733065" w:rsidRPr="000E5A31">
        <w:rPr>
          <w:rFonts w:eastAsia="Calibri" w:cs="Arial"/>
          <w:szCs w:val="22"/>
          <w:lang w:eastAsia="en-US"/>
        </w:rPr>
        <w:t xml:space="preserve">außerdem </w:t>
      </w:r>
      <w:r w:rsidR="008F05BF" w:rsidRPr="000E5A31">
        <w:rPr>
          <w:rFonts w:eastAsia="Calibri" w:cs="Arial"/>
          <w:szCs w:val="22"/>
          <w:lang w:eastAsia="en-US"/>
        </w:rPr>
        <w:t>k</w:t>
      </w:r>
      <w:r w:rsidR="009D2D71" w:rsidRPr="000E5A31">
        <w:rPr>
          <w:rFonts w:eastAsia="Calibri" w:cs="Arial"/>
          <w:szCs w:val="22"/>
          <w:lang w:eastAsia="en-US"/>
        </w:rPr>
        <w:t>a</w:t>
      </w:r>
      <w:r w:rsidR="008F05BF" w:rsidRPr="000E5A31">
        <w:rPr>
          <w:rFonts w:eastAsia="Calibri" w:cs="Arial"/>
          <w:szCs w:val="22"/>
          <w:lang w:eastAsia="en-US"/>
        </w:rPr>
        <w:t xml:space="preserve">nn </w:t>
      </w:r>
      <w:r w:rsidR="009D2D71" w:rsidRPr="000E5A31">
        <w:rPr>
          <w:rFonts w:eastAsia="Calibri" w:cs="Arial"/>
          <w:szCs w:val="22"/>
          <w:lang w:eastAsia="en-US"/>
        </w:rPr>
        <w:t xml:space="preserve">dadurch </w:t>
      </w:r>
      <w:r w:rsidR="008F05BF" w:rsidRPr="000E5A31">
        <w:rPr>
          <w:rFonts w:eastAsia="Calibri" w:cs="Arial"/>
          <w:szCs w:val="22"/>
          <w:lang w:eastAsia="en-US"/>
        </w:rPr>
        <w:t>auch mitunter auftauchende</w:t>
      </w:r>
      <w:r w:rsidR="009D2D71" w:rsidRPr="000E5A31">
        <w:rPr>
          <w:rFonts w:eastAsia="Calibri" w:cs="Arial"/>
          <w:szCs w:val="22"/>
          <w:lang w:eastAsia="en-US"/>
        </w:rPr>
        <w:t>n</w:t>
      </w:r>
      <w:r w:rsidR="008F05BF" w:rsidRPr="000E5A31">
        <w:rPr>
          <w:rFonts w:eastAsia="Calibri" w:cs="Arial"/>
          <w:szCs w:val="22"/>
          <w:lang w:eastAsia="en-US"/>
        </w:rPr>
        <w:t xml:space="preserve"> kritische</w:t>
      </w:r>
      <w:r w:rsidR="009D2D71" w:rsidRPr="000E5A31">
        <w:rPr>
          <w:rFonts w:eastAsia="Calibri" w:cs="Arial"/>
          <w:szCs w:val="22"/>
          <w:lang w:eastAsia="en-US"/>
        </w:rPr>
        <w:t>n</w:t>
      </w:r>
      <w:r w:rsidR="008F05BF" w:rsidRPr="000E5A31">
        <w:rPr>
          <w:rFonts w:eastAsia="Calibri" w:cs="Arial"/>
          <w:szCs w:val="22"/>
          <w:lang w:eastAsia="en-US"/>
        </w:rPr>
        <w:t xml:space="preserve"> Nachfragen </w:t>
      </w:r>
      <w:r w:rsidR="009D2D71" w:rsidRPr="000E5A31">
        <w:rPr>
          <w:rFonts w:eastAsia="Calibri" w:cs="Arial"/>
          <w:szCs w:val="22"/>
          <w:lang w:eastAsia="en-US"/>
        </w:rPr>
        <w:t xml:space="preserve">der südlichen Seite </w:t>
      </w:r>
      <w:r w:rsidR="008F05BF" w:rsidRPr="000E5A31">
        <w:rPr>
          <w:rFonts w:eastAsia="Calibri" w:cs="Arial"/>
          <w:szCs w:val="22"/>
          <w:lang w:eastAsia="en-US"/>
        </w:rPr>
        <w:t xml:space="preserve">nach der politischen Mandatierung </w:t>
      </w:r>
      <w:r w:rsidR="009D2D71" w:rsidRPr="000E5A31">
        <w:rPr>
          <w:rFonts w:eastAsia="Calibri" w:cs="Arial"/>
          <w:szCs w:val="22"/>
          <w:lang w:eastAsia="en-US"/>
        </w:rPr>
        <w:t xml:space="preserve">des Vorhabens </w:t>
      </w:r>
      <w:r w:rsidR="008F05BF" w:rsidRPr="000E5A31">
        <w:rPr>
          <w:rFonts w:eastAsia="Calibri" w:cs="Arial"/>
          <w:szCs w:val="22"/>
          <w:lang w:eastAsia="en-US"/>
        </w:rPr>
        <w:t>begegnet werden.</w:t>
      </w:r>
    </w:p>
    <w:p w:rsidR="00C41832" w:rsidRPr="000E5A31" w:rsidRDefault="009D2D71" w:rsidP="00C41832">
      <w:pPr>
        <w:autoSpaceDE w:val="0"/>
        <w:autoSpaceDN w:val="0"/>
        <w:adjustRightInd w:val="0"/>
        <w:spacing w:after="120"/>
        <w:rPr>
          <w:rFonts w:cs="Arial"/>
          <w:szCs w:val="22"/>
        </w:rPr>
      </w:pPr>
      <w:r w:rsidRPr="000E5A31">
        <w:rPr>
          <w:rFonts w:cs="Arial"/>
          <w:szCs w:val="22"/>
        </w:rPr>
        <w:t>Die wichtigsten P</w:t>
      </w:r>
      <w:r w:rsidR="00C41832" w:rsidRPr="000E5A31">
        <w:rPr>
          <w:rFonts w:cs="Arial"/>
          <w:szCs w:val="22"/>
        </w:rPr>
        <w:t xml:space="preserve">artner auf nationaler </w:t>
      </w:r>
      <w:r w:rsidRPr="000E5A31">
        <w:rPr>
          <w:rFonts w:cs="Arial"/>
          <w:szCs w:val="22"/>
        </w:rPr>
        <w:t>E</w:t>
      </w:r>
      <w:r w:rsidR="00C41832" w:rsidRPr="000E5A31">
        <w:rPr>
          <w:rFonts w:cs="Arial"/>
          <w:szCs w:val="22"/>
        </w:rPr>
        <w:t>bene sind die relevanten Fachministerien (Energie, Industrie, Bildung</w:t>
      </w:r>
      <w:r w:rsidR="00703C16" w:rsidRPr="000E5A31">
        <w:rPr>
          <w:rFonts w:cs="Arial"/>
          <w:szCs w:val="22"/>
        </w:rPr>
        <w:t>/</w:t>
      </w:r>
      <w:r w:rsidRPr="000E5A31">
        <w:rPr>
          <w:rFonts w:cs="Arial"/>
          <w:szCs w:val="22"/>
        </w:rPr>
        <w:t>Forschung</w:t>
      </w:r>
      <w:r w:rsidR="00C41832" w:rsidRPr="000E5A31">
        <w:rPr>
          <w:rFonts w:cs="Arial"/>
          <w:szCs w:val="22"/>
        </w:rPr>
        <w:t xml:space="preserve">, </w:t>
      </w:r>
      <w:r w:rsidRPr="000E5A31">
        <w:rPr>
          <w:rFonts w:cs="Arial"/>
          <w:szCs w:val="22"/>
        </w:rPr>
        <w:t xml:space="preserve">Arbeit/Beschäftigung, </w:t>
      </w:r>
      <w:r w:rsidR="00C41832" w:rsidRPr="000E5A31">
        <w:rPr>
          <w:rFonts w:cs="Arial"/>
          <w:szCs w:val="22"/>
        </w:rPr>
        <w:t>Wohnungsbau</w:t>
      </w:r>
      <w:r w:rsidRPr="000E5A31">
        <w:rPr>
          <w:rFonts w:cs="Arial"/>
          <w:szCs w:val="22"/>
        </w:rPr>
        <w:t>, Landwirtschaft</w:t>
      </w:r>
      <w:r w:rsidR="00703C16" w:rsidRPr="000E5A31">
        <w:rPr>
          <w:rFonts w:cs="Arial"/>
          <w:szCs w:val="22"/>
        </w:rPr>
        <w:t xml:space="preserve"> etc.</w:t>
      </w:r>
      <w:r w:rsidR="00C41832" w:rsidRPr="000E5A31">
        <w:rPr>
          <w:rFonts w:cs="Arial"/>
          <w:szCs w:val="22"/>
        </w:rPr>
        <w:t>)</w:t>
      </w:r>
      <w:r w:rsidRPr="000E5A31">
        <w:rPr>
          <w:rFonts w:cs="Arial"/>
          <w:szCs w:val="22"/>
        </w:rPr>
        <w:t xml:space="preserve"> s</w:t>
      </w:r>
      <w:r w:rsidRPr="000E5A31">
        <w:rPr>
          <w:rFonts w:cs="Arial"/>
          <w:szCs w:val="22"/>
        </w:rPr>
        <w:t>o</w:t>
      </w:r>
      <w:r w:rsidRPr="000E5A31">
        <w:rPr>
          <w:rFonts w:cs="Arial"/>
          <w:szCs w:val="22"/>
        </w:rPr>
        <w:t xml:space="preserve">wie </w:t>
      </w:r>
      <w:r w:rsidR="00C41832" w:rsidRPr="000E5A31">
        <w:rPr>
          <w:rFonts w:cs="Arial"/>
          <w:szCs w:val="22"/>
        </w:rPr>
        <w:t xml:space="preserve">deren </w:t>
      </w:r>
      <w:r w:rsidRPr="000E5A31">
        <w:rPr>
          <w:rFonts w:cs="Arial"/>
          <w:szCs w:val="22"/>
        </w:rPr>
        <w:t xml:space="preserve">jeweils </w:t>
      </w:r>
      <w:r w:rsidR="00C41832" w:rsidRPr="000E5A31">
        <w:rPr>
          <w:rFonts w:cs="Arial"/>
          <w:szCs w:val="22"/>
        </w:rPr>
        <w:t>nachgeordnete</w:t>
      </w:r>
      <w:r w:rsidRPr="000E5A31">
        <w:rPr>
          <w:rFonts w:cs="Arial"/>
          <w:szCs w:val="22"/>
        </w:rPr>
        <w:t xml:space="preserve"> </w:t>
      </w:r>
      <w:r w:rsidR="00C41832" w:rsidRPr="000E5A31">
        <w:rPr>
          <w:rFonts w:cs="Arial"/>
          <w:szCs w:val="22"/>
        </w:rPr>
        <w:t>Strukturen (Energie</w:t>
      </w:r>
      <w:r w:rsidRPr="000E5A31">
        <w:rPr>
          <w:rFonts w:cs="Arial"/>
          <w:szCs w:val="22"/>
        </w:rPr>
        <w:t>-</w:t>
      </w:r>
      <w:r w:rsidR="004E2737" w:rsidRPr="000E5A31">
        <w:rPr>
          <w:rFonts w:cs="Arial"/>
          <w:szCs w:val="22"/>
        </w:rPr>
        <w:t>,</w:t>
      </w:r>
      <w:r w:rsidRPr="000E5A31">
        <w:rPr>
          <w:rFonts w:cs="Arial"/>
          <w:szCs w:val="22"/>
        </w:rPr>
        <w:t xml:space="preserve"> Investitions</w:t>
      </w:r>
      <w:r w:rsidR="004E2737" w:rsidRPr="000E5A31">
        <w:rPr>
          <w:rFonts w:cs="Arial"/>
          <w:szCs w:val="22"/>
        </w:rPr>
        <w:t>-</w:t>
      </w:r>
      <w:r w:rsidRPr="000E5A31">
        <w:rPr>
          <w:rFonts w:cs="Arial"/>
          <w:szCs w:val="22"/>
        </w:rPr>
        <w:t>, Wirtschaftsförder- und Berufsbildungseinrichtungen etc.</w:t>
      </w:r>
      <w:r w:rsidR="00C41832" w:rsidRPr="000E5A31">
        <w:rPr>
          <w:rFonts w:cs="Arial"/>
          <w:szCs w:val="22"/>
        </w:rPr>
        <w:t>)</w:t>
      </w:r>
      <w:r w:rsidRPr="000E5A31">
        <w:rPr>
          <w:rFonts w:cs="Arial"/>
          <w:szCs w:val="22"/>
        </w:rPr>
        <w:t xml:space="preserve">. Viele dieser Institutionen kooperieren </w:t>
      </w:r>
      <w:r w:rsidR="003B033B" w:rsidRPr="000E5A31">
        <w:rPr>
          <w:rFonts w:cs="Arial"/>
          <w:szCs w:val="22"/>
        </w:rPr>
        <w:t>b</w:t>
      </w:r>
      <w:r w:rsidRPr="000E5A31">
        <w:rPr>
          <w:rFonts w:cs="Arial"/>
          <w:szCs w:val="22"/>
        </w:rPr>
        <w:t xml:space="preserve">ereits mit der GIZ, aber nicht unbedingt </w:t>
      </w:r>
      <w:r w:rsidR="00703C16" w:rsidRPr="000E5A31">
        <w:rPr>
          <w:rFonts w:cs="Arial"/>
          <w:szCs w:val="22"/>
        </w:rPr>
        <w:t xml:space="preserve">immer </w:t>
      </w:r>
      <w:r w:rsidR="00BB7249" w:rsidRPr="000E5A31">
        <w:rPr>
          <w:rFonts w:cs="Arial"/>
          <w:szCs w:val="22"/>
        </w:rPr>
        <w:t>miteinander</w:t>
      </w:r>
      <w:r w:rsidRPr="000E5A31">
        <w:rPr>
          <w:rFonts w:cs="Arial"/>
          <w:szCs w:val="22"/>
        </w:rPr>
        <w:t xml:space="preserve">. </w:t>
      </w:r>
      <w:r w:rsidR="003B033B" w:rsidRPr="000E5A31">
        <w:rPr>
          <w:rFonts w:cs="Arial"/>
          <w:szCs w:val="22"/>
        </w:rPr>
        <w:t xml:space="preserve">Auch die staatlichen Stromversorger der jeweiligen Länder sind hier zu nennen. </w:t>
      </w:r>
      <w:r w:rsidRPr="000E5A31">
        <w:rPr>
          <w:rFonts w:cs="Arial"/>
          <w:szCs w:val="22"/>
        </w:rPr>
        <w:t xml:space="preserve">Zu </w:t>
      </w:r>
      <w:r w:rsidR="00714B11" w:rsidRPr="000E5A31">
        <w:rPr>
          <w:rFonts w:cs="Arial"/>
          <w:szCs w:val="22"/>
        </w:rPr>
        <w:t>Schlüsselpartnern</w:t>
      </w:r>
      <w:r w:rsidRPr="000E5A31">
        <w:rPr>
          <w:rFonts w:cs="Arial"/>
          <w:szCs w:val="22"/>
        </w:rPr>
        <w:t xml:space="preserve"> des Vorhabens gehören </w:t>
      </w:r>
      <w:r w:rsidR="003B033B" w:rsidRPr="000E5A31">
        <w:rPr>
          <w:rFonts w:cs="Arial"/>
          <w:szCs w:val="22"/>
        </w:rPr>
        <w:t xml:space="preserve">weiterhin </w:t>
      </w:r>
      <w:r w:rsidR="00C41832" w:rsidRPr="000E5A31">
        <w:rPr>
          <w:rFonts w:cs="Arial"/>
          <w:szCs w:val="22"/>
        </w:rPr>
        <w:t>Unte</w:t>
      </w:r>
      <w:r w:rsidR="00C41832" w:rsidRPr="000E5A31">
        <w:rPr>
          <w:rFonts w:cs="Arial"/>
          <w:szCs w:val="22"/>
        </w:rPr>
        <w:t>r</w:t>
      </w:r>
      <w:r w:rsidR="00C41832" w:rsidRPr="000E5A31">
        <w:rPr>
          <w:rFonts w:cs="Arial"/>
          <w:szCs w:val="22"/>
        </w:rPr>
        <w:t>nehm</w:t>
      </w:r>
      <w:r w:rsidRPr="000E5A31">
        <w:rPr>
          <w:rFonts w:cs="Arial"/>
          <w:szCs w:val="22"/>
        </w:rPr>
        <w:t>er- und Branchen</w:t>
      </w:r>
      <w:r w:rsidR="00C41832" w:rsidRPr="000E5A31">
        <w:rPr>
          <w:rFonts w:cs="Arial"/>
          <w:szCs w:val="22"/>
        </w:rPr>
        <w:t>verbände</w:t>
      </w:r>
      <w:r w:rsidRPr="000E5A31">
        <w:rPr>
          <w:rFonts w:cs="Arial"/>
          <w:szCs w:val="22"/>
        </w:rPr>
        <w:t xml:space="preserve"> </w:t>
      </w:r>
      <w:r w:rsidR="003B033B" w:rsidRPr="000E5A31">
        <w:rPr>
          <w:rFonts w:cs="Arial"/>
          <w:szCs w:val="22"/>
        </w:rPr>
        <w:t xml:space="preserve">sowie </w:t>
      </w:r>
      <w:r w:rsidR="00C41832" w:rsidRPr="000E5A31">
        <w:rPr>
          <w:rFonts w:cs="Arial"/>
          <w:szCs w:val="22"/>
        </w:rPr>
        <w:t xml:space="preserve">Bildungseinrichtungen und </w:t>
      </w:r>
      <w:r w:rsidR="003B033B" w:rsidRPr="000E5A31">
        <w:rPr>
          <w:rFonts w:cs="Arial"/>
          <w:szCs w:val="22"/>
        </w:rPr>
        <w:t xml:space="preserve">Wissenschaftsvertreter. Wichtigster </w:t>
      </w:r>
      <w:r w:rsidR="00C41832" w:rsidRPr="000E5A31">
        <w:rPr>
          <w:rFonts w:cs="Arial"/>
          <w:szCs w:val="22"/>
        </w:rPr>
        <w:t xml:space="preserve">Partner </w:t>
      </w:r>
      <w:r w:rsidR="003B033B" w:rsidRPr="000E5A31">
        <w:rPr>
          <w:rFonts w:cs="Arial"/>
          <w:szCs w:val="22"/>
        </w:rPr>
        <w:t xml:space="preserve">auf </w:t>
      </w:r>
      <w:r w:rsidR="00C41832" w:rsidRPr="000E5A31">
        <w:rPr>
          <w:rFonts w:cs="Arial"/>
          <w:szCs w:val="22"/>
        </w:rPr>
        <w:t>regionale</w:t>
      </w:r>
      <w:r w:rsidR="003B033B" w:rsidRPr="000E5A31">
        <w:rPr>
          <w:rFonts w:cs="Arial"/>
          <w:szCs w:val="22"/>
        </w:rPr>
        <w:t>r</w:t>
      </w:r>
      <w:r w:rsidR="00C41832" w:rsidRPr="000E5A31">
        <w:rPr>
          <w:rFonts w:cs="Arial"/>
          <w:szCs w:val="22"/>
        </w:rPr>
        <w:t xml:space="preserve"> </w:t>
      </w:r>
      <w:r w:rsidR="003B033B" w:rsidRPr="000E5A31">
        <w:rPr>
          <w:rFonts w:cs="Arial"/>
          <w:szCs w:val="22"/>
        </w:rPr>
        <w:t xml:space="preserve">Ebene </w:t>
      </w:r>
      <w:r w:rsidR="00C41832" w:rsidRPr="000E5A31">
        <w:rPr>
          <w:rFonts w:cs="Arial"/>
          <w:szCs w:val="22"/>
        </w:rPr>
        <w:t xml:space="preserve">ist das Regional Center for Renewable Energy and Energy Efficiency (RCREEE) in Kairo, </w:t>
      </w:r>
      <w:r w:rsidR="003B033B" w:rsidRPr="000E5A31">
        <w:rPr>
          <w:rFonts w:cs="Arial"/>
          <w:szCs w:val="22"/>
        </w:rPr>
        <w:t xml:space="preserve">das mittlerweile als eine Art </w:t>
      </w:r>
      <w:r w:rsidR="00C41832" w:rsidRPr="000E5A31">
        <w:rPr>
          <w:rFonts w:cs="Arial"/>
          <w:szCs w:val="22"/>
        </w:rPr>
        <w:t>technischer Arm der Ar</w:t>
      </w:r>
      <w:r w:rsidR="00C41832" w:rsidRPr="000E5A31">
        <w:rPr>
          <w:rFonts w:cs="Arial"/>
          <w:szCs w:val="22"/>
        </w:rPr>
        <w:t>a</w:t>
      </w:r>
      <w:r w:rsidR="00C41832" w:rsidRPr="000E5A31">
        <w:rPr>
          <w:rFonts w:cs="Arial"/>
          <w:szCs w:val="22"/>
        </w:rPr>
        <w:t>bischen Liga</w:t>
      </w:r>
      <w:r w:rsidR="003B033B" w:rsidRPr="000E5A31">
        <w:rPr>
          <w:rFonts w:cs="Arial"/>
          <w:szCs w:val="22"/>
        </w:rPr>
        <w:t xml:space="preserve"> für nachhaltige Energien fungiert und mit dem </w:t>
      </w:r>
      <w:r w:rsidR="00FC0BB3">
        <w:rPr>
          <w:rFonts w:cs="Arial"/>
          <w:szCs w:val="22"/>
        </w:rPr>
        <w:t xml:space="preserve">am </w:t>
      </w:r>
      <w:r w:rsidR="003B033B" w:rsidRPr="000E5A31">
        <w:rPr>
          <w:rFonts w:cs="Arial"/>
          <w:szCs w:val="22"/>
        </w:rPr>
        <w:t>31.05.2015 ein Fina</w:t>
      </w:r>
      <w:r w:rsidR="00714B11" w:rsidRPr="000E5A31">
        <w:rPr>
          <w:rFonts w:cs="Arial"/>
          <w:szCs w:val="22"/>
        </w:rPr>
        <w:t>n</w:t>
      </w:r>
      <w:r w:rsidR="003B033B" w:rsidRPr="000E5A31">
        <w:rPr>
          <w:rFonts w:cs="Arial"/>
          <w:szCs w:val="22"/>
        </w:rPr>
        <w:t>zi</w:t>
      </w:r>
      <w:r w:rsidR="003B033B" w:rsidRPr="000E5A31">
        <w:rPr>
          <w:rFonts w:cs="Arial"/>
          <w:szCs w:val="22"/>
        </w:rPr>
        <w:t>e</w:t>
      </w:r>
      <w:r w:rsidR="003B033B" w:rsidRPr="000E5A31">
        <w:rPr>
          <w:rFonts w:cs="Arial"/>
          <w:szCs w:val="22"/>
        </w:rPr>
        <w:t>rungsvertrag geschlossen wurde</w:t>
      </w:r>
      <w:r w:rsidR="00C41832" w:rsidRPr="000E5A31">
        <w:rPr>
          <w:rFonts w:cs="Arial"/>
          <w:szCs w:val="22"/>
        </w:rPr>
        <w:t xml:space="preserve">. </w:t>
      </w:r>
      <w:r w:rsidR="003B033B" w:rsidRPr="000E5A31">
        <w:rPr>
          <w:rFonts w:cs="Arial"/>
          <w:szCs w:val="22"/>
        </w:rPr>
        <w:t>Auf internationale</w:t>
      </w:r>
      <w:r w:rsidR="00BB7249" w:rsidRPr="000E5A31">
        <w:rPr>
          <w:rFonts w:cs="Arial"/>
          <w:szCs w:val="22"/>
        </w:rPr>
        <w:t>r</w:t>
      </w:r>
      <w:r w:rsidR="003B033B" w:rsidRPr="000E5A31">
        <w:rPr>
          <w:rFonts w:cs="Arial"/>
          <w:szCs w:val="22"/>
        </w:rPr>
        <w:t xml:space="preserve"> Ebene ist der wichtigste Partner die I</w:t>
      </w:r>
      <w:r w:rsidR="003B033B" w:rsidRPr="000E5A31">
        <w:rPr>
          <w:rFonts w:cs="Arial"/>
          <w:szCs w:val="22"/>
        </w:rPr>
        <w:t>n</w:t>
      </w:r>
      <w:r w:rsidR="003B033B" w:rsidRPr="000E5A31">
        <w:rPr>
          <w:rFonts w:cs="Arial"/>
          <w:szCs w:val="22"/>
        </w:rPr>
        <w:t>ternat</w:t>
      </w:r>
      <w:r w:rsidR="003B033B" w:rsidRPr="000E5A31">
        <w:rPr>
          <w:rFonts w:cs="Arial"/>
          <w:szCs w:val="22"/>
        </w:rPr>
        <w:t>i</w:t>
      </w:r>
      <w:r w:rsidR="003B033B" w:rsidRPr="000E5A31">
        <w:rPr>
          <w:rFonts w:cs="Arial"/>
          <w:szCs w:val="22"/>
        </w:rPr>
        <w:t>onal Renewable Energy Agency (IRENA) mit Sitz in Abu Dhabi und Bonn. Außerdem bestehen gute Kontakte zu weiteren</w:t>
      </w:r>
      <w:r w:rsidR="00C41832" w:rsidRPr="000E5A31">
        <w:rPr>
          <w:rFonts w:cs="Arial"/>
          <w:szCs w:val="22"/>
        </w:rPr>
        <w:t xml:space="preserve"> regionalen </w:t>
      </w:r>
      <w:r w:rsidR="003B033B" w:rsidRPr="000E5A31">
        <w:rPr>
          <w:rFonts w:cs="Arial"/>
          <w:szCs w:val="22"/>
        </w:rPr>
        <w:t>Orga</w:t>
      </w:r>
      <w:r w:rsidR="0092409A" w:rsidRPr="000E5A31">
        <w:rPr>
          <w:rFonts w:cs="Arial"/>
          <w:szCs w:val="22"/>
        </w:rPr>
        <w:t>n</w:t>
      </w:r>
      <w:r w:rsidR="003B033B" w:rsidRPr="000E5A31">
        <w:rPr>
          <w:rFonts w:cs="Arial"/>
          <w:szCs w:val="22"/>
        </w:rPr>
        <w:t xml:space="preserve">isationen </w:t>
      </w:r>
      <w:r w:rsidR="00C41832" w:rsidRPr="000E5A31">
        <w:rPr>
          <w:rFonts w:cs="Arial"/>
          <w:szCs w:val="22"/>
        </w:rPr>
        <w:t xml:space="preserve">wie dem </w:t>
      </w:r>
      <w:r w:rsidR="0092409A" w:rsidRPr="000E5A31">
        <w:rPr>
          <w:rFonts w:cs="Arial"/>
          <w:szCs w:val="22"/>
        </w:rPr>
        <w:t>Center for Medite</w:t>
      </w:r>
      <w:r w:rsidR="0092409A" w:rsidRPr="000E5A31">
        <w:rPr>
          <w:rFonts w:cs="Arial"/>
          <w:szCs w:val="22"/>
        </w:rPr>
        <w:t>r</w:t>
      </w:r>
      <w:r w:rsidR="0092409A" w:rsidRPr="000E5A31">
        <w:rPr>
          <w:rFonts w:cs="Arial"/>
          <w:szCs w:val="22"/>
        </w:rPr>
        <w:t xml:space="preserve">ranean Integration (CMI) in Marseille, dem </w:t>
      </w:r>
      <w:r w:rsidR="00C41832" w:rsidRPr="000E5A31">
        <w:rPr>
          <w:rFonts w:cs="Arial"/>
          <w:szCs w:val="22"/>
        </w:rPr>
        <w:t>Sekretariat der Union für das Mittelmeer (UfM</w:t>
      </w:r>
      <w:r w:rsidR="004E2737" w:rsidRPr="000E5A31">
        <w:rPr>
          <w:rFonts w:cs="Arial"/>
          <w:szCs w:val="22"/>
        </w:rPr>
        <w:t>S</w:t>
      </w:r>
      <w:r w:rsidR="00C41832" w:rsidRPr="000E5A31">
        <w:rPr>
          <w:rFonts w:cs="Arial"/>
          <w:szCs w:val="22"/>
        </w:rPr>
        <w:t xml:space="preserve">) </w:t>
      </w:r>
      <w:r w:rsidR="0092409A" w:rsidRPr="000E5A31">
        <w:rPr>
          <w:rFonts w:cs="Arial"/>
          <w:szCs w:val="22"/>
        </w:rPr>
        <w:t>in Barcelona sowie de</w:t>
      </w:r>
      <w:r w:rsidR="004E2737" w:rsidRPr="000E5A31">
        <w:rPr>
          <w:rFonts w:cs="Arial"/>
          <w:szCs w:val="22"/>
        </w:rPr>
        <w:t>n</w:t>
      </w:r>
      <w:r w:rsidR="0092409A" w:rsidRPr="000E5A31">
        <w:rPr>
          <w:rFonts w:cs="Arial"/>
          <w:szCs w:val="22"/>
        </w:rPr>
        <w:t xml:space="preserve"> UN Wirtschafts- und Sozialr</w:t>
      </w:r>
      <w:r w:rsidR="004E2737" w:rsidRPr="000E5A31">
        <w:rPr>
          <w:rFonts w:cs="Arial"/>
          <w:szCs w:val="22"/>
        </w:rPr>
        <w:t>ä</w:t>
      </w:r>
      <w:r w:rsidR="0092409A" w:rsidRPr="000E5A31">
        <w:rPr>
          <w:rFonts w:cs="Arial"/>
          <w:szCs w:val="22"/>
        </w:rPr>
        <w:t>t</w:t>
      </w:r>
      <w:r w:rsidR="004E2737" w:rsidRPr="000E5A31">
        <w:rPr>
          <w:rFonts w:cs="Arial"/>
          <w:szCs w:val="22"/>
        </w:rPr>
        <w:t>en</w:t>
      </w:r>
      <w:r w:rsidR="0092409A" w:rsidRPr="000E5A31">
        <w:rPr>
          <w:rFonts w:cs="Arial"/>
          <w:szCs w:val="22"/>
        </w:rPr>
        <w:t xml:space="preserve"> für Westasien </w:t>
      </w:r>
      <w:r w:rsidR="004E2737" w:rsidRPr="000E5A31">
        <w:rPr>
          <w:rFonts w:cs="Arial"/>
          <w:szCs w:val="22"/>
        </w:rPr>
        <w:t xml:space="preserve">und Afrika </w:t>
      </w:r>
      <w:r w:rsidR="0092409A" w:rsidRPr="000E5A31">
        <w:rPr>
          <w:rFonts w:cs="Arial"/>
          <w:szCs w:val="22"/>
        </w:rPr>
        <w:t>(ESCWA</w:t>
      </w:r>
      <w:r w:rsidR="004E2737" w:rsidRPr="000E5A31">
        <w:rPr>
          <w:rFonts w:cs="Arial"/>
          <w:szCs w:val="22"/>
        </w:rPr>
        <w:t xml:space="preserve"> und ECA</w:t>
      </w:r>
      <w:r w:rsidR="0092409A" w:rsidRPr="000E5A31">
        <w:rPr>
          <w:rFonts w:cs="Arial"/>
          <w:szCs w:val="22"/>
        </w:rPr>
        <w:t>) in Beirut</w:t>
      </w:r>
      <w:r w:rsidR="004E2737" w:rsidRPr="000E5A31">
        <w:rPr>
          <w:rFonts w:cs="Arial"/>
          <w:szCs w:val="22"/>
        </w:rPr>
        <w:t xml:space="preserve"> und Rabat</w:t>
      </w:r>
      <w:r w:rsidR="0092409A" w:rsidRPr="000E5A31">
        <w:rPr>
          <w:rFonts w:cs="Arial"/>
          <w:szCs w:val="22"/>
        </w:rPr>
        <w:t>, mit denen bereits punktuell konkret kooperiert w</w:t>
      </w:r>
      <w:r w:rsidR="00703C16" w:rsidRPr="000E5A31">
        <w:rPr>
          <w:rFonts w:cs="Arial"/>
          <w:szCs w:val="22"/>
        </w:rPr>
        <w:t>ird</w:t>
      </w:r>
      <w:r w:rsidR="0092409A" w:rsidRPr="000E5A31">
        <w:rPr>
          <w:rFonts w:cs="Arial"/>
          <w:szCs w:val="22"/>
        </w:rPr>
        <w:t>.</w:t>
      </w:r>
    </w:p>
    <w:p w:rsidR="0092409A" w:rsidRPr="000E5A31" w:rsidRDefault="0092409A" w:rsidP="00C41832">
      <w:pPr>
        <w:autoSpaceDE w:val="0"/>
        <w:autoSpaceDN w:val="0"/>
        <w:adjustRightInd w:val="0"/>
        <w:spacing w:after="120"/>
        <w:rPr>
          <w:rFonts w:cs="Arial"/>
          <w:szCs w:val="22"/>
        </w:rPr>
      </w:pPr>
      <w:r w:rsidRPr="000E5A31">
        <w:rPr>
          <w:rFonts w:cs="Arial"/>
          <w:szCs w:val="22"/>
        </w:rPr>
        <w:t xml:space="preserve">Des </w:t>
      </w:r>
      <w:r w:rsidR="00714B11" w:rsidRPr="000E5A31">
        <w:rPr>
          <w:rFonts w:cs="Arial"/>
          <w:szCs w:val="22"/>
        </w:rPr>
        <w:t>Weiteren</w:t>
      </w:r>
      <w:r w:rsidRPr="000E5A31">
        <w:rPr>
          <w:rFonts w:cs="Arial"/>
          <w:szCs w:val="22"/>
        </w:rPr>
        <w:t xml:space="preserve"> bilden sich weitere Partnerstrukturen heraus, die in naher Zukunft eine wicht</w:t>
      </w:r>
      <w:r w:rsidRPr="000E5A31">
        <w:rPr>
          <w:rFonts w:cs="Arial"/>
          <w:szCs w:val="22"/>
        </w:rPr>
        <w:t>i</w:t>
      </w:r>
      <w:r w:rsidRPr="000E5A31">
        <w:rPr>
          <w:rFonts w:cs="Arial"/>
          <w:szCs w:val="22"/>
        </w:rPr>
        <w:t>ge Rolle für konkrete Kooperationen spielen könnten: dies sind v.a. die aktuell entstehende</w:t>
      </w:r>
      <w:r w:rsidR="00FC0BB3">
        <w:rPr>
          <w:rFonts w:cs="Arial"/>
          <w:szCs w:val="22"/>
        </w:rPr>
        <w:t>n</w:t>
      </w:r>
      <w:r w:rsidRPr="000E5A31">
        <w:rPr>
          <w:rFonts w:cs="Arial"/>
          <w:szCs w:val="22"/>
        </w:rPr>
        <w:t xml:space="preserve"> Clusterinitiativen in den Fokusländern des Vorhabens im Bereich nachhaltige Energie, mit denen bereits konkret zusammengearbeitet wird und von denen einige durchaus das Pote</w:t>
      </w:r>
      <w:r w:rsidRPr="000E5A31">
        <w:rPr>
          <w:rFonts w:cs="Arial"/>
          <w:szCs w:val="22"/>
        </w:rPr>
        <w:t>n</w:t>
      </w:r>
      <w:r w:rsidRPr="000E5A31">
        <w:rPr>
          <w:rFonts w:cs="Arial"/>
          <w:szCs w:val="22"/>
        </w:rPr>
        <w:t>tial haben, zu einem dauerhaften Durchführungspartner des Vorhabens zu werden.</w:t>
      </w:r>
    </w:p>
    <w:p w:rsidR="00415D96" w:rsidRPr="000E5A31" w:rsidRDefault="00836FF6" w:rsidP="000C5AD2">
      <w:pPr>
        <w:pStyle w:val="berschrift2"/>
        <w:rPr>
          <w:b/>
          <w:i/>
        </w:rPr>
      </w:pPr>
      <w:bookmarkStart w:id="14" w:name="_Toc396989042"/>
      <w:r w:rsidRPr="000E5A31">
        <w:rPr>
          <w:b/>
          <w:i/>
        </w:rPr>
        <w:lastRenderedPageBreak/>
        <w:t>B</w:t>
      </w:r>
      <w:r w:rsidR="00415D96" w:rsidRPr="000E5A31">
        <w:rPr>
          <w:b/>
          <w:i/>
        </w:rPr>
        <w:t>.</w:t>
      </w:r>
      <w:r w:rsidRPr="000E5A31">
        <w:rPr>
          <w:b/>
          <w:i/>
        </w:rPr>
        <w:t>2</w:t>
      </w:r>
      <w:r w:rsidR="00415D96" w:rsidRPr="000E5A31">
        <w:rPr>
          <w:b/>
          <w:i/>
        </w:rPr>
        <w:t>.</w:t>
      </w:r>
      <w:r w:rsidRPr="000E5A31">
        <w:rPr>
          <w:b/>
          <w:i/>
        </w:rPr>
        <w:t>3</w:t>
      </w:r>
      <w:r w:rsidR="00415D96" w:rsidRPr="000E5A31">
        <w:rPr>
          <w:b/>
          <w:i/>
        </w:rPr>
        <w:tab/>
      </w:r>
      <w:r w:rsidRPr="000E5A31">
        <w:rPr>
          <w:b/>
          <w:i/>
        </w:rPr>
        <w:t>Zielerreichung</w:t>
      </w:r>
      <w:bookmarkEnd w:id="14"/>
    </w:p>
    <w:p w:rsidR="00836FF6" w:rsidRPr="000E5A31" w:rsidRDefault="00A4211E" w:rsidP="007D5F43">
      <w:pPr>
        <w:spacing w:after="120"/>
        <w:rPr>
          <w:rFonts w:cs="Arial"/>
          <w:szCs w:val="22"/>
        </w:rPr>
      </w:pPr>
      <w:r w:rsidRPr="000E5A31">
        <w:rPr>
          <w:rFonts w:cs="Arial"/>
          <w:szCs w:val="22"/>
        </w:rPr>
        <w:t xml:space="preserve">Das </w:t>
      </w:r>
      <w:r w:rsidRPr="000E5A31">
        <w:rPr>
          <w:rFonts w:cs="Arial"/>
          <w:b/>
          <w:szCs w:val="22"/>
        </w:rPr>
        <w:t>Projektziel</w:t>
      </w:r>
      <w:r w:rsidRPr="000E5A31">
        <w:rPr>
          <w:rFonts w:cs="Arial"/>
          <w:szCs w:val="22"/>
        </w:rPr>
        <w:t xml:space="preserve"> lautet: „Die Voraussetzungen für die Entwicklung der Märkte für beschäft</w:t>
      </w:r>
      <w:r w:rsidRPr="000E5A31">
        <w:rPr>
          <w:rFonts w:cs="Arial"/>
          <w:szCs w:val="22"/>
        </w:rPr>
        <w:t>i</w:t>
      </w:r>
      <w:r w:rsidRPr="000E5A31">
        <w:rPr>
          <w:rFonts w:cs="Arial"/>
          <w:szCs w:val="22"/>
        </w:rPr>
        <w:t>gungsintensive erneuerbare Energie- und Energieeffizienz-Technologien sind verbessert."</w:t>
      </w:r>
    </w:p>
    <w:p w:rsidR="00A4211E" w:rsidRPr="000E5A31" w:rsidRDefault="00A4211E" w:rsidP="007D5F43">
      <w:pPr>
        <w:autoSpaceDE w:val="0"/>
        <w:autoSpaceDN w:val="0"/>
        <w:adjustRightInd w:val="0"/>
        <w:spacing w:after="120"/>
        <w:rPr>
          <w:rFonts w:eastAsia="Calibri" w:cs="Arial"/>
          <w:szCs w:val="22"/>
          <w:lang w:eastAsia="en-US"/>
        </w:rPr>
      </w:pPr>
      <w:r w:rsidRPr="000E5A31">
        <w:rPr>
          <w:rFonts w:eastAsia="Calibri" w:cs="Arial"/>
          <w:b/>
          <w:szCs w:val="22"/>
          <w:lang w:eastAsia="en-US"/>
        </w:rPr>
        <w:t>Indikator 1</w:t>
      </w:r>
      <w:r w:rsidR="006B6ED0" w:rsidRPr="000E5A31">
        <w:rPr>
          <w:rFonts w:eastAsia="Calibri" w:cs="Arial"/>
          <w:b/>
          <w:szCs w:val="22"/>
          <w:lang w:eastAsia="en-US"/>
        </w:rPr>
        <w:t>:</w:t>
      </w:r>
      <w:r w:rsidRPr="000E5A31">
        <w:rPr>
          <w:rFonts w:eastAsia="Calibri" w:cs="Arial"/>
          <w:szCs w:val="22"/>
          <w:lang w:eastAsia="en-US"/>
        </w:rPr>
        <w:t xml:space="preserve"> In 2 Ländern wurden im Dialog zwischen Regierung, Wirtschaft und Wisse</w:t>
      </w:r>
      <w:r w:rsidRPr="000E5A31">
        <w:rPr>
          <w:rFonts w:eastAsia="Calibri" w:cs="Arial"/>
          <w:szCs w:val="22"/>
          <w:lang w:eastAsia="en-US"/>
        </w:rPr>
        <w:t>n</w:t>
      </w:r>
      <w:r w:rsidRPr="000E5A31">
        <w:rPr>
          <w:rFonts w:eastAsia="Calibri" w:cs="Arial"/>
          <w:szCs w:val="22"/>
          <w:lang w:eastAsia="en-US"/>
        </w:rPr>
        <w:t>schaft 3 konkrete Maßnahmen zur Förderung beschäftigungsintensiver RE/EE Technologien ausgewählt.</w:t>
      </w:r>
    </w:p>
    <w:p w:rsidR="00A4211E" w:rsidRPr="000E5A31" w:rsidRDefault="00A4211E" w:rsidP="007D5F43">
      <w:pPr>
        <w:spacing w:after="120"/>
        <w:rPr>
          <w:rFonts w:cs="Arial"/>
          <w:szCs w:val="22"/>
        </w:rPr>
      </w:pPr>
      <w:r w:rsidRPr="000E5A31">
        <w:rPr>
          <w:rFonts w:cs="Arial"/>
          <w:szCs w:val="22"/>
        </w:rPr>
        <w:t xml:space="preserve">Zur Erreichung dieses Indikators werden </w:t>
      </w:r>
      <w:r w:rsidR="00C85B6B" w:rsidRPr="000E5A31">
        <w:rPr>
          <w:rFonts w:cs="Arial"/>
          <w:szCs w:val="22"/>
        </w:rPr>
        <w:t>Stakeholderdialoge</w:t>
      </w:r>
      <w:r w:rsidRPr="000E5A31">
        <w:rPr>
          <w:rFonts w:cs="Arial"/>
          <w:szCs w:val="22"/>
        </w:rPr>
        <w:t xml:space="preserve"> in den Fokusländern organ</w:t>
      </w:r>
      <w:r w:rsidRPr="000E5A31">
        <w:rPr>
          <w:rFonts w:cs="Arial"/>
          <w:szCs w:val="22"/>
        </w:rPr>
        <w:t>i</w:t>
      </w:r>
      <w:r w:rsidRPr="000E5A31">
        <w:rPr>
          <w:rFonts w:cs="Arial"/>
          <w:szCs w:val="22"/>
        </w:rPr>
        <w:t xml:space="preserve">siert, in deren Rahmen </w:t>
      </w:r>
      <w:r w:rsidR="00C210A3" w:rsidRPr="000E5A31">
        <w:rPr>
          <w:rFonts w:cs="Arial"/>
          <w:szCs w:val="22"/>
        </w:rPr>
        <w:t xml:space="preserve">verschiedene </w:t>
      </w:r>
      <w:r w:rsidRPr="000E5A31">
        <w:rPr>
          <w:rFonts w:cs="Arial"/>
          <w:szCs w:val="22"/>
        </w:rPr>
        <w:t xml:space="preserve">Methoden zur Bewertung </w:t>
      </w:r>
      <w:r w:rsidR="00C210A3" w:rsidRPr="000E5A31">
        <w:rPr>
          <w:rFonts w:cs="Arial"/>
          <w:szCs w:val="22"/>
        </w:rPr>
        <w:t xml:space="preserve">und besseren Nutzung der </w:t>
      </w:r>
      <w:r w:rsidR="00C210A3" w:rsidRPr="000E5A31">
        <w:rPr>
          <w:rFonts w:eastAsia="Calibri" w:cs="Arial"/>
          <w:szCs w:val="22"/>
          <w:lang w:eastAsia="en-US"/>
        </w:rPr>
        <w:t>beschäftigungs- und einkommensfördernden Wirkungen von RE/EE</w:t>
      </w:r>
      <w:r w:rsidR="00C210A3" w:rsidRPr="000E5A31">
        <w:rPr>
          <w:rFonts w:cs="Arial"/>
          <w:szCs w:val="22"/>
        </w:rPr>
        <w:t xml:space="preserve"> </w:t>
      </w:r>
      <w:r w:rsidRPr="000E5A31">
        <w:rPr>
          <w:rFonts w:cs="Arial"/>
          <w:szCs w:val="22"/>
        </w:rPr>
        <w:t xml:space="preserve">diskutiert werden </w:t>
      </w:r>
      <w:r w:rsidR="00C210A3" w:rsidRPr="000E5A31">
        <w:rPr>
          <w:rFonts w:cs="Arial"/>
          <w:szCs w:val="22"/>
        </w:rPr>
        <w:t>(</w:t>
      </w:r>
      <w:r w:rsidR="00C210A3" w:rsidRPr="000E5A31">
        <w:rPr>
          <w:rFonts w:eastAsia="Calibri" w:cs="Arial"/>
          <w:szCs w:val="22"/>
          <w:lang w:eastAsia="en-US"/>
        </w:rPr>
        <w:t>inkl. einer Bewusstmachung der potentiellen Trade-offs und Zielkonflikte zwischen den verschi</w:t>
      </w:r>
      <w:r w:rsidR="00C210A3" w:rsidRPr="000E5A31">
        <w:rPr>
          <w:rFonts w:eastAsia="Calibri" w:cs="Arial"/>
          <w:szCs w:val="22"/>
          <w:lang w:eastAsia="en-US"/>
        </w:rPr>
        <w:t>e</w:t>
      </w:r>
      <w:r w:rsidR="00C210A3" w:rsidRPr="000E5A31">
        <w:rPr>
          <w:rFonts w:eastAsia="Calibri" w:cs="Arial"/>
          <w:szCs w:val="22"/>
          <w:lang w:eastAsia="en-US"/>
        </w:rPr>
        <w:t>denen Optionen und Zielvorgaben)</w:t>
      </w:r>
      <w:r w:rsidR="00C210A3" w:rsidRPr="000E5A31">
        <w:rPr>
          <w:rFonts w:cs="Arial"/>
          <w:szCs w:val="22"/>
        </w:rPr>
        <w:t xml:space="preserve"> </w:t>
      </w:r>
      <w:r w:rsidRPr="000E5A31">
        <w:rPr>
          <w:rFonts w:cs="Arial"/>
          <w:szCs w:val="22"/>
        </w:rPr>
        <w:t>und die ihrerseits zu einer qualitativen Verbesserung der energiepolitischen Debatten und Entscheidungsprozesse vor Ort beitragen.</w:t>
      </w:r>
    </w:p>
    <w:p w:rsidR="00A4211E" w:rsidRPr="000E5A31" w:rsidRDefault="00714B11" w:rsidP="007D5F43">
      <w:pPr>
        <w:spacing w:after="120"/>
        <w:rPr>
          <w:rFonts w:eastAsia="Calibri" w:cs="Arial"/>
          <w:szCs w:val="22"/>
          <w:lang w:eastAsia="en-US"/>
        </w:rPr>
      </w:pPr>
      <w:r w:rsidRPr="000E5A31">
        <w:rPr>
          <w:rFonts w:eastAsia="Calibri" w:cs="Arial"/>
          <w:szCs w:val="22"/>
          <w:lang w:eastAsia="en-US"/>
        </w:rPr>
        <w:t xml:space="preserve">Diese Stakeholderdialoge werden im Rahmen des </w:t>
      </w:r>
      <w:r w:rsidR="00C85B6B" w:rsidRPr="000E5A31">
        <w:rPr>
          <w:rFonts w:eastAsia="Calibri" w:cs="Arial"/>
          <w:szCs w:val="22"/>
          <w:lang w:eastAsia="en-US"/>
        </w:rPr>
        <w:t>SE4JOBS</w:t>
      </w:r>
      <w:r w:rsidR="00BB7249" w:rsidRPr="000E5A31">
        <w:rPr>
          <w:rFonts w:eastAsia="Calibri" w:cs="Arial"/>
          <w:szCs w:val="22"/>
          <w:lang w:eastAsia="en-US"/>
        </w:rPr>
        <w:t>-</w:t>
      </w:r>
      <w:r w:rsidR="00C85B6B" w:rsidRPr="000E5A31">
        <w:rPr>
          <w:rFonts w:eastAsia="Calibri" w:cs="Arial"/>
          <w:szCs w:val="22"/>
          <w:lang w:eastAsia="en-US"/>
        </w:rPr>
        <w:t>Projekts</w:t>
      </w:r>
      <w:r w:rsidRPr="000E5A31">
        <w:rPr>
          <w:rFonts w:eastAsia="Calibri" w:cs="Arial"/>
          <w:szCs w:val="22"/>
          <w:lang w:eastAsia="en-US"/>
        </w:rPr>
        <w:t xml:space="preserve"> </w:t>
      </w:r>
      <w:r w:rsidR="007E6FF5" w:rsidRPr="000E5A31">
        <w:rPr>
          <w:rFonts w:eastAsia="Calibri" w:cs="Arial"/>
          <w:szCs w:val="22"/>
          <w:lang w:eastAsia="en-US"/>
        </w:rPr>
        <w:t xml:space="preserve">(„Sustainable Energy for Jobs“) </w:t>
      </w:r>
      <w:r w:rsidRPr="000E5A31">
        <w:rPr>
          <w:rFonts w:eastAsia="Calibri" w:cs="Arial"/>
          <w:szCs w:val="22"/>
          <w:lang w:eastAsia="en-US"/>
        </w:rPr>
        <w:t>organisiert, das von RE-ACTIVATE in Zusammenarbeit mit 5 Sektorvorhaben und mit Unterstützung von Adelphi Consulting und dem Forschungszentrum für Umweltpolitik der FU Berlin durchgeführt wird.</w:t>
      </w:r>
      <w:r w:rsidR="007E6FF5" w:rsidRPr="000E5A31">
        <w:rPr>
          <w:rFonts w:eastAsia="Calibri" w:cs="Arial"/>
          <w:szCs w:val="22"/>
          <w:lang w:eastAsia="en-US"/>
        </w:rPr>
        <w:t xml:space="preserve"> RE-ACTIVATE ist Initiator und Koordinator der Maßnahme.</w:t>
      </w:r>
    </w:p>
    <w:p w:rsidR="00A4211E" w:rsidRPr="000E5A31" w:rsidRDefault="00A4211E" w:rsidP="007D5F43">
      <w:pPr>
        <w:spacing w:after="120"/>
        <w:rPr>
          <w:rFonts w:eastAsia="Calibri" w:cs="Arial"/>
          <w:szCs w:val="22"/>
          <w:lang w:eastAsia="en-US"/>
        </w:rPr>
      </w:pPr>
      <w:r w:rsidRPr="000E5A31">
        <w:rPr>
          <w:rFonts w:eastAsia="Calibri" w:cs="Arial"/>
          <w:szCs w:val="22"/>
          <w:lang w:eastAsia="en-US"/>
        </w:rPr>
        <w:t xml:space="preserve">Ziel </w:t>
      </w:r>
      <w:r w:rsidR="00E508E1" w:rsidRPr="000E5A31">
        <w:rPr>
          <w:rFonts w:eastAsia="Calibri" w:cs="Arial"/>
          <w:szCs w:val="22"/>
          <w:lang w:eastAsia="en-US"/>
        </w:rPr>
        <w:t>ist eine</w:t>
      </w:r>
      <w:r w:rsidRPr="000E5A31">
        <w:rPr>
          <w:rFonts w:eastAsia="Calibri" w:cs="Arial"/>
          <w:szCs w:val="22"/>
          <w:lang w:eastAsia="en-US"/>
        </w:rPr>
        <w:t xml:space="preserve"> Bestandsaufnahme </w:t>
      </w:r>
      <w:r w:rsidR="00E508E1" w:rsidRPr="000E5A31">
        <w:rPr>
          <w:rFonts w:eastAsia="Calibri" w:cs="Arial"/>
          <w:szCs w:val="22"/>
          <w:lang w:eastAsia="en-US"/>
        </w:rPr>
        <w:t>von</w:t>
      </w:r>
      <w:r w:rsidRPr="000E5A31">
        <w:rPr>
          <w:rFonts w:eastAsia="Calibri" w:cs="Arial"/>
          <w:szCs w:val="22"/>
          <w:lang w:eastAsia="en-US"/>
        </w:rPr>
        <w:t xml:space="preserve"> Good Practices und Erfolgsmodelle</w:t>
      </w:r>
      <w:r w:rsidR="00E508E1" w:rsidRPr="000E5A31">
        <w:rPr>
          <w:rFonts w:eastAsia="Calibri" w:cs="Arial"/>
          <w:szCs w:val="22"/>
          <w:lang w:eastAsia="en-US"/>
        </w:rPr>
        <w:t>n</w:t>
      </w:r>
      <w:r w:rsidRPr="000E5A31">
        <w:rPr>
          <w:rFonts w:eastAsia="Calibri" w:cs="Arial"/>
          <w:szCs w:val="22"/>
          <w:lang w:eastAsia="en-US"/>
        </w:rPr>
        <w:t xml:space="preserve"> bzgl. der Optimi</w:t>
      </w:r>
      <w:r w:rsidRPr="000E5A31">
        <w:rPr>
          <w:rFonts w:eastAsia="Calibri" w:cs="Arial"/>
          <w:szCs w:val="22"/>
          <w:lang w:eastAsia="en-US"/>
        </w:rPr>
        <w:t>e</w:t>
      </w:r>
      <w:r w:rsidRPr="000E5A31">
        <w:rPr>
          <w:rFonts w:eastAsia="Calibri" w:cs="Arial"/>
          <w:szCs w:val="22"/>
          <w:lang w:eastAsia="en-US"/>
        </w:rPr>
        <w:t xml:space="preserve">rung sozio-ökonomischer Effekte von RE/EE in Entwicklungs- und Schwellenländern; </w:t>
      </w:r>
      <w:r w:rsidR="00E508E1" w:rsidRPr="000E5A31">
        <w:rPr>
          <w:rFonts w:eastAsia="Calibri" w:cs="Arial"/>
          <w:szCs w:val="22"/>
          <w:lang w:eastAsia="en-US"/>
        </w:rPr>
        <w:t xml:space="preserve">die </w:t>
      </w:r>
      <w:r w:rsidRPr="000E5A31">
        <w:rPr>
          <w:rFonts w:eastAsia="Calibri" w:cs="Arial"/>
          <w:szCs w:val="22"/>
          <w:lang w:eastAsia="en-US"/>
        </w:rPr>
        <w:t xml:space="preserve">Identifizierung von </w:t>
      </w:r>
      <w:r w:rsidR="0086485D" w:rsidRPr="000E5A31">
        <w:rPr>
          <w:rFonts w:eastAsia="Calibri" w:cs="Arial"/>
          <w:szCs w:val="22"/>
          <w:lang w:eastAsia="en-US"/>
        </w:rPr>
        <w:t>Wissenst</w:t>
      </w:r>
      <w:r w:rsidRPr="000E5A31">
        <w:rPr>
          <w:rFonts w:eastAsia="Calibri" w:cs="Arial"/>
          <w:szCs w:val="22"/>
          <w:lang w:eastAsia="en-US"/>
        </w:rPr>
        <w:t>ransfer und Onboarding</w:t>
      </w:r>
      <w:r w:rsidR="00BB7249" w:rsidRPr="000E5A31">
        <w:rPr>
          <w:rFonts w:eastAsia="Calibri" w:cs="Arial"/>
          <w:szCs w:val="22"/>
          <w:lang w:eastAsia="en-US"/>
        </w:rPr>
        <w:t>-</w:t>
      </w:r>
      <w:r w:rsidRPr="000E5A31">
        <w:rPr>
          <w:rFonts w:eastAsia="Calibri" w:cs="Arial"/>
          <w:szCs w:val="22"/>
          <w:lang w:eastAsia="en-US"/>
        </w:rPr>
        <w:t xml:space="preserve">Potentialen </w:t>
      </w:r>
      <w:r w:rsidR="007E6FF5" w:rsidRPr="000E5A31">
        <w:rPr>
          <w:rFonts w:eastAsia="Calibri" w:cs="Arial"/>
          <w:szCs w:val="22"/>
          <w:lang w:eastAsia="en-US"/>
        </w:rPr>
        <w:t>für die identifizierten E</w:t>
      </w:r>
      <w:r w:rsidR="007E6FF5" w:rsidRPr="000E5A31">
        <w:rPr>
          <w:rFonts w:eastAsia="Calibri" w:cs="Arial"/>
          <w:szCs w:val="22"/>
          <w:lang w:eastAsia="en-US"/>
        </w:rPr>
        <w:t>r</w:t>
      </w:r>
      <w:r w:rsidR="007E6FF5" w:rsidRPr="000E5A31">
        <w:rPr>
          <w:rFonts w:eastAsia="Calibri" w:cs="Arial"/>
          <w:szCs w:val="22"/>
          <w:lang w:eastAsia="en-US"/>
        </w:rPr>
        <w:t xml:space="preserve">folgsansätze und -bedingungen </w:t>
      </w:r>
      <w:r w:rsidRPr="000E5A31">
        <w:rPr>
          <w:rFonts w:eastAsia="Calibri" w:cs="Arial"/>
          <w:szCs w:val="22"/>
          <w:lang w:eastAsia="en-US"/>
        </w:rPr>
        <w:t>i</w:t>
      </w:r>
      <w:r w:rsidR="00E508E1" w:rsidRPr="000E5A31">
        <w:rPr>
          <w:rFonts w:eastAsia="Calibri" w:cs="Arial"/>
          <w:szCs w:val="22"/>
          <w:lang w:eastAsia="en-US"/>
        </w:rPr>
        <w:t xml:space="preserve">n </w:t>
      </w:r>
      <w:r w:rsidRPr="000E5A31">
        <w:rPr>
          <w:rFonts w:eastAsia="Calibri" w:cs="Arial"/>
          <w:szCs w:val="22"/>
          <w:lang w:eastAsia="en-US"/>
        </w:rPr>
        <w:t>MENA</w:t>
      </w:r>
      <w:r w:rsidR="00E508E1" w:rsidRPr="000E5A31">
        <w:rPr>
          <w:rFonts w:eastAsia="Calibri" w:cs="Arial"/>
          <w:szCs w:val="22"/>
          <w:lang w:eastAsia="en-US"/>
        </w:rPr>
        <w:t>;</w:t>
      </w:r>
      <w:r w:rsidRPr="000E5A31">
        <w:rPr>
          <w:rFonts w:eastAsia="Calibri" w:cs="Arial"/>
          <w:szCs w:val="22"/>
          <w:lang w:eastAsia="en-US"/>
        </w:rPr>
        <w:t xml:space="preserve"> </w:t>
      </w:r>
      <w:r w:rsidR="00E508E1" w:rsidRPr="000E5A31">
        <w:rPr>
          <w:rFonts w:eastAsia="Calibri" w:cs="Arial"/>
          <w:szCs w:val="22"/>
          <w:lang w:eastAsia="en-US"/>
        </w:rPr>
        <w:t xml:space="preserve">sowie die </w:t>
      </w:r>
      <w:r w:rsidRPr="000E5A31">
        <w:rPr>
          <w:rFonts w:eastAsia="Calibri" w:cs="Arial"/>
          <w:szCs w:val="22"/>
          <w:lang w:eastAsia="en-US"/>
        </w:rPr>
        <w:t>Entwicklung neuer Beratungsinstrume</w:t>
      </w:r>
      <w:r w:rsidRPr="000E5A31">
        <w:rPr>
          <w:rFonts w:eastAsia="Calibri" w:cs="Arial"/>
          <w:szCs w:val="22"/>
          <w:lang w:eastAsia="en-US"/>
        </w:rPr>
        <w:t>n</w:t>
      </w:r>
      <w:r w:rsidRPr="000E5A31">
        <w:rPr>
          <w:rFonts w:eastAsia="Calibri" w:cs="Arial"/>
          <w:szCs w:val="22"/>
          <w:lang w:eastAsia="en-US"/>
        </w:rPr>
        <w:t xml:space="preserve">te, -formate und </w:t>
      </w:r>
      <w:r w:rsidR="00BB7249" w:rsidRPr="000E5A31">
        <w:rPr>
          <w:rFonts w:eastAsia="Calibri" w:cs="Arial"/>
          <w:szCs w:val="22"/>
          <w:lang w:eastAsia="en-US"/>
        </w:rPr>
        <w:t>-</w:t>
      </w:r>
      <w:r w:rsidRPr="000E5A31">
        <w:rPr>
          <w:rFonts w:eastAsia="Calibri" w:cs="Arial"/>
          <w:szCs w:val="22"/>
          <w:lang w:eastAsia="en-US"/>
        </w:rPr>
        <w:t>inhalte</w:t>
      </w:r>
      <w:r w:rsidR="00E508E1" w:rsidRPr="000E5A31">
        <w:rPr>
          <w:rFonts w:eastAsia="Calibri" w:cs="Arial"/>
          <w:szCs w:val="22"/>
          <w:lang w:eastAsia="en-US"/>
        </w:rPr>
        <w:t xml:space="preserve">, wie insbesondere die einer anwendungsorientierten </w:t>
      </w:r>
      <w:r w:rsidR="00C85B6B" w:rsidRPr="000E5A31">
        <w:rPr>
          <w:rFonts w:eastAsia="Calibri" w:cs="Arial"/>
          <w:szCs w:val="22"/>
          <w:lang w:eastAsia="en-US"/>
        </w:rPr>
        <w:t>SE4JOBS</w:t>
      </w:r>
      <w:r w:rsidR="00BB7249" w:rsidRPr="000E5A31">
        <w:rPr>
          <w:rFonts w:eastAsia="Calibri" w:cs="Arial"/>
          <w:szCs w:val="22"/>
          <w:lang w:eastAsia="en-US"/>
        </w:rPr>
        <w:t>-</w:t>
      </w:r>
      <w:r w:rsidR="00C85B6B" w:rsidRPr="000E5A31">
        <w:rPr>
          <w:rFonts w:eastAsia="Calibri" w:cs="Arial"/>
          <w:szCs w:val="22"/>
          <w:lang w:eastAsia="en-US"/>
        </w:rPr>
        <w:t>Toolbox</w:t>
      </w:r>
      <w:r w:rsidR="00E508E1" w:rsidRPr="000E5A31">
        <w:rPr>
          <w:rFonts w:eastAsia="Calibri" w:cs="Arial"/>
          <w:szCs w:val="22"/>
          <w:lang w:eastAsia="en-US"/>
        </w:rPr>
        <w:t xml:space="preserve">, mit deren Hilfe Erfahrungsaustausch und Wissensmanagement im Rahmen der EZ/IZ unterstützt, </w:t>
      </w:r>
      <w:r w:rsidR="0086485D" w:rsidRPr="000E5A31">
        <w:rPr>
          <w:rFonts w:eastAsia="Calibri" w:cs="Arial"/>
          <w:szCs w:val="22"/>
          <w:lang w:eastAsia="en-US"/>
        </w:rPr>
        <w:t xml:space="preserve">Capacity Development und </w:t>
      </w:r>
      <w:r w:rsidR="00E508E1" w:rsidRPr="000E5A31">
        <w:rPr>
          <w:rFonts w:eastAsia="Calibri" w:cs="Arial"/>
          <w:szCs w:val="22"/>
          <w:lang w:eastAsia="en-US"/>
        </w:rPr>
        <w:t>Knowhow Transfer in MENA (und darüber hi</w:t>
      </w:r>
      <w:r w:rsidR="00E508E1" w:rsidRPr="000E5A31">
        <w:rPr>
          <w:rFonts w:eastAsia="Calibri" w:cs="Arial"/>
          <w:szCs w:val="22"/>
          <w:lang w:eastAsia="en-US"/>
        </w:rPr>
        <w:t>n</w:t>
      </w:r>
      <w:r w:rsidR="00E508E1" w:rsidRPr="000E5A31">
        <w:rPr>
          <w:rFonts w:eastAsia="Calibri" w:cs="Arial"/>
          <w:szCs w:val="22"/>
          <w:lang w:eastAsia="en-US"/>
        </w:rPr>
        <w:t xml:space="preserve">aus) gefördert und generell zu einer </w:t>
      </w:r>
      <w:r w:rsidR="007E6FF5" w:rsidRPr="000E5A31">
        <w:rPr>
          <w:rFonts w:eastAsia="Calibri" w:cs="Arial"/>
          <w:szCs w:val="22"/>
          <w:lang w:eastAsia="en-US"/>
        </w:rPr>
        <w:t>stärke</w:t>
      </w:r>
      <w:r w:rsidR="00E508E1" w:rsidRPr="000E5A31">
        <w:rPr>
          <w:rFonts w:eastAsia="Calibri" w:cs="Arial"/>
          <w:szCs w:val="22"/>
          <w:lang w:eastAsia="en-US"/>
        </w:rPr>
        <w:t>ren Nutzung der zahlreichen möglichen Synergi</w:t>
      </w:r>
      <w:r w:rsidR="00E508E1" w:rsidRPr="000E5A31">
        <w:rPr>
          <w:rFonts w:eastAsia="Calibri" w:cs="Arial"/>
          <w:szCs w:val="22"/>
          <w:lang w:eastAsia="en-US"/>
        </w:rPr>
        <w:t>e</w:t>
      </w:r>
      <w:r w:rsidR="00E508E1" w:rsidRPr="000E5A31">
        <w:rPr>
          <w:rFonts w:eastAsia="Calibri" w:cs="Arial"/>
          <w:szCs w:val="22"/>
          <w:lang w:eastAsia="en-US"/>
        </w:rPr>
        <w:t>effek</w:t>
      </w:r>
      <w:r w:rsidR="0086485D" w:rsidRPr="000E5A31">
        <w:rPr>
          <w:rFonts w:eastAsia="Calibri" w:cs="Arial"/>
          <w:szCs w:val="22"/>
          <w:lang w:eastAsia="en-US"/>
        </w:rPr>
        <w:t>te</w:t>
      </w:r>
      <w:r w:rsidR="00E508E1" w:rsidRPr="000E5A31">
        <w:rPr>
          <w:rFonts w:eastAsia="Calibri" w:cs="Arial"/>
          <w:szCs w:val="22"/>
          <w:lang w:eastAsia="en-US"/>
        </w:rPr>
        <w:t xml:space="preserve"> zwischen </w:t>
      </w:r>
      <w:r w:rsidR="0086485D" w:rsidRPr="000E5A31">
        <w:rPr>
          <w:rFonts w:eastAsia="Calibri" w:cs="Arial"/>
          <w:szCs w:val="22"/>
          <w:lang w:eastAsia="en-US"/>
        </w:rPr>
        <w:t>n</w:t>
      </w:r>
      <w:r w:rsidR="007D5F43" w:rsidRPr="000E5A31">
        <w:rPr>
          <w:rFonts w:eastAsia="Calibri" w:cs="Arial"/>
          <w:szCs w:val="22"/>
          <w:lang w:eastAsia="en-US"/>
        </w:rPr>
        <w:t>achhaltige</w:t>
      </w:r>
      <w:r w:rsidR="0086485D" w:rsidRPr="000E5A31">
        <w:rPr>
          <w:rFonts w:eastAsia="Calibri" w:cs="Arial"/>
          <w:szCs w:val="22"/>
          <w:lang w:eastAsia="en-US"/>
        </w:rPr>
        <w:t>n</w:t>
      </w:r>
      <w:r w:rsidR="007D5F43" w:rsidRPr="000E5A31">
        <w:rPr>
          <w:rFonts w:eastAsia="Calibri" w:cs="Arial"/>
          <w:szCs w:val="22"/>
          <w:lang w:eastAsia="en-US"/>
        </w:rPr>
        <w:t xml:space="preserve"> </w:t>
      </w:r>
      <w:r w:rsidR="00E508E1" w:rsidRPr="000E5A31">
        <w:rPr>
          <w:rFonts w:eastAsia="Calibri" w:cs="Arial"/>
          <w:szCs w:val="22"/>
          <w:lang w:eastAsia="en-US"/>
        </w:rPr>
        <w:t>Energie</w:t>
      </w:r>
      <w:r w:rsidR="007D5F43" w:rsidRPr="000E5A31">
        <w:rPr>
          <w:rFonts w:eastAsia="Calibri" w:cs="Arial"/>
          <w:szCs w:val="22"/>
          <w:lang w:eastAsia="en-US"/>
        </w:rPr>
        <w:t xml:space="preserve">n und lokaler </w:t>
      </w:r>
      <w:r w:rsidR="00E508E1" w:rsidRPr="000E5A31">
        <w:rPr>
          <w:rFonts w:eastAsia="Calibri" w:cs="Arial"/>
          <w:szCs w:val="22"/>
          <w:lang w:eastAsia="en-US"/>
        </w:rPr>
        <w:t>Beschäftig</w:t>
      </w:r>
      <w:r w:rsidR="007D5F43" w:rsidRPr="000E5A31">
        <w:rPr>
          <w:rFonts w:eastAsia="Calibri" w:cs="Arial"/>
          <w:szCs w:val="22"/>
          <w:lang w:eastAsia="en-US"/>
        </w:rPr>
        <w:t>ung</w:t>
      </w:r>
      <w:r w:rsidR="00E508E1" w:rsidRPr="000E5A31">
        <w:rPr>
          <w:rFonts w:eastAsia="Calibri" w:cs="Arial"/>
          <w:szCs w:val="22"/>
          <w:lang w:eastAsia="en-US"/>
        </w:rPr>
        <w:t xml:space="preserve"> bei</w:t>
      </w:r>
      <w:r w:rsidR="007D5F43" w:rsidRPr="000E5A31">
        <w:rPr>
          <w:rFonts w:eastAsia="Calibri" w:cs="Arial"/>
          <w:szCs w:val="22"/>
          <w:lang w:eastAsia="en-US"/>
        </w:rPr>
        <w:t>ge</w:t>
      </w:r>
      <w:r w:rsidR="00E508E1" w:rsidRPr="000E5A31">
        <w:rPr>
          <w:rFonts w:eastAsia="Calibri" w:cs="Arial"/>
          <w:szCs w:val="22"/>
          <w:lang w:eastAsia="en-US"/>
        </w:rPr>
        <w:t>tragen werden soll.</w:t>
      </w:r>
    </w:p>
    <w:p w:rsidR="007D5F43" w:rsidRPr="000E5A31" w:rsidRDefault="0086485D" w:rsidP="007D5F43">
      <w:pPr>
        <w:spacing w:after="120"/>
        <w:rPr>
          <w:rFonts w:cs="Arial"/>
          <w:szCs w:val="22"/>
        </w:rPr>
      </w:pPr>
      <w:r w:rsidRPr="000E5A31">
        <w:rPr>
          <w:rFonts w:eastAsia="Calibri" w:cs="Arial"/>
          <w:szCs w:val="22"/>
          <w:lang w:eastAsia="en-US"/>
        </w:rPr>
        <w:t>M</w:t>
      </w:r>
      <w:r w:rsidR="00537B61" w:rsidRPr="000E5A31">
        <w:rPr>
          <w:rFonts w:eastAsia="Calibri" w:cs="Arial"/>
          <w:szCs w:val="22"/>
          <w:lang w:eastAsia="en-US"/>
        </w:rPr>
        <w:t xml:space="preserve">it </w:t>
      </w:r>
      <w:r w:rsidRPr="000E5A31">
        <w:rPr>
          <w:rFonts w:eastAsia="Calibri" w:cs="Arial"/>
          <w:szCs w:val="22"/>
          <w:lang w:eastAsia="en-US"/>
        </w:rPr>
        <w:t xml:space="preserve">dieser Maßnahme </w:t>
      </w:r>
      <w:r w:rsidR="00537B61" w:rsidRPr="000E5A31">
        <w:rPr>
          <w:rFonts w:eastAsia="Calibri" w:cs="Arial"/>
          <w:szCs w:val="22"/>
          <w:lang w:eastAsia="en-US"/>
        </w:rPr>
        <w:t>soll ein substantieller Beitrag zur Entwicklung eines sektor- und instit</w:t>
      </w:r>
      <w:r w:rsidR="00537B61" w:rsidRPr="000E5A31">
        <w:rPr>
          <w:rFonts w:eastAsia="Calibri" w:cs="Arial"/>
          <w:szCs w:val="22"/>
          <w:lang w:eastAsia="en-US"/>
        </w:rPr>
        <w:t>u</w:t>
      </w:r>
      <w:r w:rsidR="00537B61" w:rsidRPr="000E5A31">
        <w:rPr>
          <w:rFonts w:eastAsia="Calibri" w:cs="Arial"/>
          <w:szCs w:val="22"/>
          <w:lang w:eastAsia="en-US"/>
        </w:rPr>
        <w:t>tionenübergreifenden Erfahrungsaustauschs und Policy Dialogs vor Ort zwischen den (bi</w:t>
      </w:r>
      <w:r w:rsidR="00537B61" w:rsidRPr="000E5A31">
        <w:rPr>
          <w:rFonts w:eastAsia="Calibri" w:cs="Arial"/>
          <w:szCs w:val="22"/>
          <w:lang w:eastAsia="en-US"/>
        </w:rPr>
        <w:t>s</w:t>
      </w:r>
      <w:r w:rsidR="00537B61" w:rsidRPr="000E5A31">
        <w:rPr>
          <w:rFonts w:eastAsia="Calibri" w:cs="Arial"/>
          <w:szCs w:val="22"/>
          <w:lang w:eastAsia="en-US"/>
        </w:rPr>
        <w:t xml:space="preserve">lang </w:t>
      </w:r>
      <w:r w:rsidRPr="000E5A31">
        <w:rPr>
          <w:rFonts w:eastAsia="Calibri" w:cs="Arial"/>
          <w:szCs w:val="22"/>
          <w:lang w:eastAsia="en-US"/>
        </w:rPr>
        <w:t xml:space="preserve">nur wenig </w:t>
      </w:r>
      <w:r w:rsidR="00537B61" w:rsidRPr="000E5A31">
        <w:rPr>
          <w:rFonts w:eastAsia="Calibri" w:cs="Arial"/>
          <w:szCs w:val="22"/>
          <w:lang w:eastAsia="en-US"/>
        </w:rPr>
        <w:t>kommun</w:t>
      </w:r>
      <w:r w:rsidR="00714B11" w:rsidRPr="000E5A31">
        <w:rPr>
          <w:rFonts w:eastAsia="Calibri" w:cs="Arial"/>
          <w:szCs w:val="22"/>
          <w:lang w:eastAsia="en-US"/>
        </w:rPr>
        <w:t>i</w:t>
      </w:r>
      <w:r w:rsidR="00537B61" w:rsidRPr="000E5A31">
        <w:rPr>
          <w:rFonts w:eastAsia="Calibri" w:cs="Arial"/>
          <w:szCs w:val="22"/>
          <w:lang w:eastAsia="en-US"/>
        </w:rPr>
        <w:t xml:space="preserve">zierenden und sich </w:t>
      </w:r>
      <w:r w:rsidRPr="000E5A31">
        <w:rPr>
          <w:rFonts w:eastAsia="Calibri" w:cs="Arial"/>
          <w:szCs w:val="22"/>
          <w:lang w:eastAsia="en-US"/>
        </w:rPr>
        <w:t xml:space="preserve">kaum </w:t>
      </w:r>
      <w:r w:rsidR="00537B61" w:rsidRPr="000E5A31">
        <w:rPr>
          <w:rFonts w:eastAsia="Calibri" w:cs="Arial"/>
          <w:szCs w:val="22"/>
          <w:lang w:eastAsia="en-US"/>
        </w:rPr>
        <w:t xml:space="preserve">koordinierenden) Stakeholdern geleistet werden, </w:t>
      </w:r>
      <w:r w:rsidRPr="000E5A31">
        <w:rPr>
          <w:rFonts w:eastAsia="Calibri" w:cs="Arial"/>
          <w:szCs w:val="22"/>
          <w:lang w:eastAsia="en-US"/>
        </w:rPr>
        <w:t xml:space="preserve">insbesondere </w:t>
      </w:r>
      <w:r w:rsidR="00537B61" w:rsidRPr="000E5A31">
        <w:rPr>
          <w:rFonts w:eastAsia="Calibri" w:cs="Arial"/>
          <w:szCs w:val="22"/>
          <w:lang w:eastAsia="en-US"/>
        </w:rPr>
        <w:t>unter Beteiligung de</w:t>
      </w:r>
      <w:r w:rsidRPr="000E5A31">
        <w:rPr>
          <w:rFonts w:eastAsia="Calibri" w:cs="Arial"/>
          <w:szCs w:val="22"/>
          <w:lang w:eastAsia="en-US"/>
        </w:rPr>
        <w:t>r</w:t>
      </w:r>
      <w:r w:rsidR="00537B61" w:rsidRPr="000E5A31">
        <w:rPr>
          <w:rFonts w:eastAsia="Calibri" w:cs="Arial"/>
          <w:szCs w:val="22"/>
          <w:lang w:eastAsia="en-US"/>
        </w:rPr>
        <w:t xml:space="preserve"> Bereiche Energie, Industrie, </w:t>
      </w:r>
      <w:r w:rsidRPr="000E5A31">
        <w:rPr>
          <w:rFonts w:eastAsia="Calibri" w:cs="Arial"/>
          <w:szCs w:val="22"/>
          <w:lang w:eastAsia="en-US"/>
        </w:rPr>
        <w:t xml:space="preserve">Beschäftigung, </w:t>
      </w:r>
      <w:r w:rsidR="00537B61" w:rsidRPr="000E5A31">
        <w:rPr>
          <w:rFonts w:eastAsia="Calibri" w:cs="Arial"/>
          <w:szCs w:val="22"/>
          <w:lang w:eastAsia="en-US"/>
        </w:rPr>
        <w:t>Bi</w:t>
      </w:r>
      <w:r w:rsidR="00537B61" w:rsidRPr="000E5A31">
        <w:rPr>
          <w:rFonts w:eastAsia="Calibri" w:cs="Arial"/>
          <w:szCs w:val="22"/>
          <w:lang w:eastAsia="en-US"/>
        </w:rPr>
        <w:t>l</w:t>
      </w:r>
      <w:r w:rsidR="00537B61" w:rsidRPr="000E5A31">
        <w:rPr>
          <w:rFonts w:eastAsia="Calibri" w:cs="Arial"/>
          <w:szCs w:val="22"/>
          <w:lang w:eastAsia="en-US"/>
        </w:rPr>
        <w:t xml:space="preserve">dung, Forschung, </w:t>
      </w:r>
      <w:r w:rsidRPr="000E5A31">
        <w:rPr>
          <w:rFonts w:cs="Arial"/>
          <w:szCs w:val="22"/>
        </w:rPr>
        <w:t>Landwirtschaft und ländliche Entwicklung</w:t>
      </w:r>
      <w:r w:rsidR="00537B61" w:rsidRPr="000E5A31">
        <w:rPr>
          <w:rFonts w:eastAsia="Calibri" w:cs="Arial"/>
          <w:szCs w:val="22"/>
          <w:lang w:eastAsia="en-US"/>
        </w:rPr>
        <w:t>.</w:t>
      </w:r>
      <w:r w:rsidR="007D5F43" w:rsidRPr="000E5A31">
        <w:rPr>
          <w:rFonts w:cs="Arial"/>
          <w:szCs w:val="22"/>
        </w:rPr>
        <w:t xml:space="preserve"> </w:t>
      </w:r>
      <w:r w:rsidRPr="000E5A31">
        <w:rPr>
          <w:rFonts w:cs="Arial"/>
          <w:szCs w:val="22"/>
        </w:rPr>
        <w:t xml:space="preserve">Kritisch </w:t>
      </w:r>
      <w:r w:rsidR="007D5F43" w:rsidRPr="000E5A31">
        <w:rPr>
          <w:rFonts w:cs="Arial"/>
          <w:szCs w:val="22"/>
        </w:rPr>
        <w:t xml:space="preserve">für den Erfolg dieses Ansatzes ist </w:t>
      </w:r>
      <w:r w:rsidRPr="000E5A31">
        <w:rPr>
          <w:rFonts w:cs="Arial"/>
          <w:szCs w:val="22"/>
        </w:rPr>
        <w:t>neben der</w:t>
      </w:r>
      <w:r w:rsidR="007D5F43" w:rsidRPr="000E5A31">
        <w:rPr>
          <w:rFonts w:cs="Arial"/>
          <w:szCs w:val="22"/>
        </w:rPr>
        <w:t xml:space="preserve"> zielgerichtete</w:t>
      </w:r>
      <w:r w:rsidRPr="000E5A31">
        <w:rPr>
          <w:rFonts w:cs="Arial"/>
          <w:szCs w:val="22"/>
        </w:rPr>
        <w:t>n</w:t>
      </w:r>
      <w:r w:rsidR="007D5F43" w:rsidRPr="000E5A31">
        <w:rPr>
          <w:rFonts w:cs="Arial"/>
          <w:szCs w:val="22"/>
        </w:rPr>
        <w:t xml:space="preserve"> Einbindung </w:t>
      </w:r>
      <w:r w:rsidRPr="000E5A31">
        <w:rPr>
          <w:rFonts w:cs="Arial"/>
          <w:szCs w:val="22"/>
        </w:rPr>
        <w:t xml:space="preserve">zentraler Vertreter </w:t>
      </w:r>
      <w:r w:rsidR="007D5F43" w:rsidRPr="000E5A31">
        <w:rPr>
          <w:rFonts w:cs="Arial"/>
          <w:szCs w:val="22"/>
        </w:rPr>
        <w:t>der betroffenen „</w:t>
      </w:r>
      <w:r w:rsidRPr="000E5A31">
        <w:rPr>
          <w:rFonts w:cs="Arial"/>
          <w:szCs w:val="22"/>
        </w:rPr>
        <w:t>Sector</w:t>
      </w:r>
      <w:r w:rsidR="007D5F43" w:rsidRPr="000E5A31">
        <w:rPr>
          <w:rFonts w:cs="Arial"/>
          <w:szCs w:val="22"/>
        </w:rPr>
        <w:t xml:space="preserve"> Communities“ </w:t>
      </w:r>
      <w:r w:rsidRPr="000E5A31">
        <w:rPr>
          <w:rFonts w:cs="Arial"/>
          <w:szCs w:val="22"/>
        </w:rPr>
        <w:t>auch die aktive Mitarbeit der jeweiligen Privatwirtschaft.</w:t>
      </w:r>
    </w:p>
    <w:p w:rsidR="00A4211E" w:rsidRPr="000E5A31" w:rsidRDefault="00A4211E" w:rsidP="007D5F43">
      <w:pPr>
        <w:spacing w:after="120"/>
        <w:rPr>
          <w:rFonts w:eastAsia="Calibri" w:cs="Arial"/>
          <w:szCs w:val="22"/>
          <w:lang w:eastAsia="en-US"/>
        </w:rPr>
      </w:pPr>
      <w:r w:rsidRPr="000E5A31">
        <w:rPr>
          <w:rFonts w:eastAsia="Calibri" w:cs="Arial"/>
          <w:szCs w:val="22"/>
          <w:lang w:eastAsia="en-US"/>
        </w:rPr>
        <w:t>Bis</w:t>
      </w:r>
      <w:r w:rsidR="00537B61" w:rsidRPr="000E5A31">
        <w:rPr>
          <w:rFonts w:eastAsia="Calibri" w:cs="Arial"/>
          <w:szCs w:val="22"/>
          <w:lang w:eastAsia="en-US"/>
        </w:rPr>
        <w:t>her wurden</w:t>
      </w:r>
      <w:r w:rsidRPr="000E5A31">
        <w:rPr>
          <w:rFonts w:eastAsia="Calibri" w:cs="Arial"/>
          <w:szCs w:val="22"/>
          <w:lang w:eastAsia="en-US"/>
        </w:rPr>
        <w:t xml:space="preserve"> </w:t>
      </w:r>
      <w:r w:rsidR="00C85B6B" w:rsidRPr="000E5A31">
        <w:rPr>
          <w:rFonts w:eastAsia="Calibri" w:cs="Arial"/>
          <w:szCs w:val="22"/>
          <w:lang w:eastAsia="en-US"/>
        </w:rPr>
        <w:t>zwei</w:t>
      </w:r>
      <w:r w:rsidRPr="000E5A31">
        <w:rPr>
          <w:rFonts w:eastAsia="Calibri" w:cs="Arial"/>
          <w:szCs w:val="22"/>
          <w:lang w:eastAsia="en-US"/>
        </w:rPr>
        <w:t xml:space="preserve"> </w:t>
      </w:r>
      <w:r w:rsidR="00C85B6B" w:rsidRPr="000E5A31">
        <w:rPr>
          <w:rFonts w:eastAsia="Calibri" w:cs="Arial"/>
          <w:szCs w:val="22"/>
          <w:lang w:eastAsia="en-US"/>
        </w:rPr>
        <w:t>SE4JOBS Expertenworkshops</w:t>
      </w:r>
      <w:r w:rsidRPr="000E5A31">
        <w:rPr>
          <w:rFonts w:eastAsia="Calibri" w:cs="Arial"/>
          <w:szCs w:val="22"/>
          <w:lang w:eastAsia="en-US"/>
        </w:rPr>
        <w:t xml:space="preserve"> </w:t>
      </w:r>
      <w:r w:rsidR="00C85B6B" w:rsidRPr="000E5A31">
        <w:rPr>
          <w:rFonts w:eastAsia="Calibri" w:cs="Arial"/>
          <w:szCs w:val="22"/>
          <w:lang w:eastAsia="en-US"/>
        </w:rPr>
        <w:t>in MENA</w:t>
      </w:r>
      <w:r w:rsidR="00537B61" w:rsidRPr="000E5A31">
        <w:rPr>
          <w:rFonts w:eastAsia="Calibri" w:cs="Arial"/>
          <w:szCs w:val="22"/>
          <w:lang w:eastAsia="en-US"/>
        </w:rPr>
        <w:t xml:space="preserve"> durchgeführt</w:t>
      </w:r>
      <w:r w:rsidRPr="000E5A31">
        <w:rPr>
          <w:rFonts w:eastAsia="Calibri" w:cs="Arial"/>
          <w:szCs w:val="22"/>
          <w:lang w:eastAsia="en-US"/>
        </w:rPr>
        <w:t xml:space="preserve">: in Rabat (24.-25.03.2015) </w:t>
      </w:r>
      <w:r w:rsidR="007E6FF5" w:rsidRPr="000E5A31">
        <w:rPr>
          <w:rFonts w:eastAsia="Calibri" w:cs="Arial"/>
          <w:szCs w:val="22"/>
          <w:lang w:eastAsia="en-US"/>
        </w:rPr>
        <w:t>und</w:t>
      </w:r>
      <w:r w:rsidRPr="000E5A31">
        <w:rPr>
          <w:rFonts w:eastAsia="Calibri" w:cs="Arial"/>
          <w:szCs w:val="22"/>
          <w:lang w:eastAsia="en-US"/>
        </w:rPr>
        <w:t xml:space="preserve"> </w:t>
      </w:r>
      <w:r w:rsidR="00537B61" w:rsidRPr="000E5A31">
        <w:rPr>
          <w:rFonts w:eastAsia="Calibri" w:cs="Arial"/>
          <w:szCs w:val="22"/>
          <w:lang w:eastAsia="en-US"/>
        </w:rPr>
        <w:t xml:space="preserve">in </w:t>
      </w:r>
      <w:r w:rsidRPr="000E5A31">
        <w:rPr>
          <w:rFonts w:eastAsia="Calibri" w:cs="Arial"/>
          <w:szCs w:val="22"/>
          <w:lang w:eastAsia="en-US"/>
        </w:rPr>
        <w:t>Tunis (08.-09.06.2015)</w:t>
      </w:r>
      <w:r w:rsidR="00080677" w:rsidRPr="000E5A31">
        <w:rPr>
          <w:rFonts w:eastAsia="Calibri" w:cs="Arial"/>
          <w:szCs w:val="22"/>
          <w:lang w:eastAsia="en-US"/>
        </w:rPr>
        <w:t>.</w:t>
      </w:r>
      <w:r w:rsidR="007D5F43" w:rsidRPr="000E5A31">
        <w:rPr>
          <w:rFonts w:eastAsia="Calibri" w:cs="Arial"/>
          <w:szCs w:val="22"/>
          <w:lang w:eastAsia="en-US"/>
        </w:rPr>
        <w:t xml:space="preserve"> </w:t>
      </w:r>
      <w:r w:rsidR="00080677" w:rsidRPr="000E5A31">
        <w:rPr>
          <w:rFonts w:eastAsia="Calibri" w:cs="Arial"/>
          <w:szCs w:val="22"/>
          <w:lang w:eastAsia="en-US"/>
        </w:rPr>
        <w:t>D</w:t>
      </w:r>
      <w:r w:rsidR="007D5F43" w:rsidRPr="000E5A31">
        <w:rPr>
          <w:rFonts w:eastAsia="Calibri" w:cs="Arial"/>
          <w:szCs w:val="22"/>
          <w:lang w:eastAsia="en-US"/>
        </w:rPr>
        <w:t xml:space="preserve">er dritte </w:t>
      </w:r>
      <w:r w:rsidR="007E6FF5" w:rsidRPr="000E5A31">
        <w:rPr>
          <w:rFonts w:eastAsia="Calibri" w:cs="Arial"/>
          <w:szCs w:val="22"/>
          <w:lang w:eastAsia="en-US"/>
        </w:rPr>
        <w:t xml:space="preserve">Workshop </w:t>
      </w:r>
      <w:r w:rsidR="007D5F43" w:rsidRPr="000E5A31">
        <w:rPr>
          <w:rFonts w:eastAsia="Calibri" w:cs="Arial"/>
          <w:szCs w:val="22"/>
          <w:lang w:eastAsia="en-US"/>
        </w:rPr>
        <w:t>folgt im Oktober in Kairo</w:t>
      </w:r>
      <w:r w:rsidR="007E6FF5" w:rsidRPr="000E5A31">
        <w:rPr>
          <w:rFonts w:eastAsia="Calibri" w:cs="Arial"/>
          <w:szCs w:val="22"/>
          <w:lang w:eastAsia="en-US"/>
        </w:rPr>
        <w:t>. U</w:t>
      </w:r>
      <w:r w:rsidR="00537B61" w:rsidRPr="000E5A31">
        <w:rPr>
          <w:rFonts w:eastAsia="Calibri" w:cs="Arial"/>
          <w:szCs w:val="22"/>
          <w:lang w:eastAsia="en-US"/>
        </w:rPr>
        <w:t xml:space="preserve">nterstützt wurden diese durch zwei Inhouse-Workshops am 13.10.2014 sowie am 07.05.2015 zwecks einer besseren Abstimmung </w:t>
      </w:r>
      <w:r w:rsidR="007D5F43" w:rsidRPr="000E5A31">
        <w:rPr>
          <w:rFonts w:eastAsia="Calibri" w:cs="Arial"/>
          <w:szCs w:val="22"/>
          <w:lang w:eastAsia="en-US"/>
        </w:rPr>
        <w:t xml:space="preserve">zwischen </w:t>
      </w:r>
      <w:r w:rsidR="00537B61" w:rsidRPr="000E5A31">
        <w:rPr>
          <w:rFonts w:eastAsia="Calibri" w:cs="Arial"/>
          <w:szCs w:val="22"/>
          <w:lang w:eastAsia="en-US"/>
        </w:rPr>
        <w:t>RE-ACTIVATE</w:t>
      </w:r>
      <w:r w:rsidR="007D5F43" w:rsidRPr="000E5A31">
        <w:rPr>
          <w:rFonts w:eastAsia="Calibri" w:cs="Arial"/>
          <w:szCs w:val="22"/>
          <w:lang w:eastAsia="en-US"/>
        </w:rPr>
        <w:t>, den externen E</w:t>
      </w:r>
      <w:r w:rsidR="007D5F43" w:rsidRPr="000E5A31">
        <w:rPr>
          <w:rFonts w:eastAsia="Calibri" w:cs="Arial"/>
          <w:szCs w:val="22"/>
          <w:lang w:eastAsia="en-US"/>
        </w:rPr>
        <w:t>x</w:t>
      </w:r>
      <w:r w:rsidR="007D5F43" w:rsidRPr="000E5A31">
        <w:rPr>
          <w:rFonts w:eastAsia="Calibri" w:cs="Arial"/>
          <w:szCs w:val="22"/>
          <w:lang w:eastAsia="en-US"/>
        </w:rPr>
        <w:t>perten und den</w:t>
      </w:r>
      <w:r w:rsidR="00537B61" w:rsidRPr="000E5A31">
        <w:rPr>
          <w:rFonts w:eastAsia="Calibri" w:cs="Arial"/>
          <w:szCs w:val="22"/>
          <w:lang w:eastAsia="en-US"/>
        </w:rPr>
        <w:t xml:space="preserve"> beteiligten Sektorvorhaben. </w:t>
      </w:r>
      <w:r w:rsidR="007D5F43" w:rsidRPr="000E5A31">
        <w:rPr>
          <w:rFonts w:eastAsia="Calibri" w:cs="Arial"/>
          <w:szCs w:val="22"/>
          <w:lang w:eastAsia="en-US"/>
        </w:rPr>
        <w:t>Die 1.Testversion der SE4JOBS</w:t>
      </w:r>
      <w:r w:rsidR="00080677" w:rsidRPr="000E5A31">
        <w:rPr>
          <w:rFonts w:eastAsia="Calibri" w:cs="Arial"/>
          <w:szCs w:val="22"/>
          <w:lang w:eastAsia="en-US"/>
        </w:rPr>
        <w:t>-</w:t>
      </w:r>
      <w:r w:rsidR="007D5F43" w:rsidRPr="000E5A31">
        <w:rPr>
          <w:rFonts w:eastAsia="Calibri" w:cs="Arial"/>
          <w:szCs w:val="22"/>
          <w:lang w:eastAsia="en-US"/>
        </w:rPr>
        <w:t xml:space="preserve">Toolbox wird </w:t>
      </w:r>
      <w:r w:rsidR="007E6FF5" w:rsidRPr="000E5A31">
        <w:rPr>
          <w:rFonts w:eastAsia="Calibri" w:cs="Arial"/>
          <w:szCs w:val="22"/>
          <w:lang w:eastAsia="en-US"/>
        </w:rPr>
        <w:t xml:space="preserve">in naher Zukunft </w:t>
      </w:r>
      <w:r w:rsidRPr="000E5A31">
        <w:rPr>
          <w:rFonts w:eastAsia="Calibri" w:cs="Arial"/>
          <w:szCs w:val="22"/>
          <w:lang w:eastAsia="en-US"/>
        </w:rPr>
        <w:t xml:space="preserve">im Rahmen </w:t>
      </w:r>
      <w:r w:rsidR="007E6FF5" w:rsidRPr="000E5A31">
        <w:rPr>
          <w:rFonts w:eastAsia="Calibri" w:cs="Arial"/>
          <w:szCs w:val="22"/>
          <w:lang w:eastAsia="en-US"/>
        </w:rPr>
        <w:t xml:space="preserve">mehrerer Fachveranstaltungen </w:t>
      </w:r>
      <w:r w:rsidR="007D5F43" w:rsidRPr="000E5A31">
        <w:rPr>
          <w:rFonts w:eastAsia="Calibri" w:cs="Arial"/>
          <w:szCs w:val="22"/>
          <w:lang w:eastAsia="en-US"/>
        </w:rPr>
        <w:t>vorgestellt</w:t>
      </w:r>
      <w:r w:rsidR="007E6FF5" w:rsidRPr="000E5A31">
        <w:rPr>
          <w:rFonts w:eastAsia="Calibri" w:cs="Arial"/>
          <w:szCs w:val="22"/>
          <w:lang w:eastAsia="en-US"/>
        </w:rPr>
        <w:t xml:space="preserve"> werden (wie z.B. dem Beirut Energy Forum im September).</w:t>
      </w:r>
      <w:r w:rsidR="007D5F43" w:rsidRPr="000E5A31">
        <w:rPr>
          <w:rFonts w:eastAsia="Calibri" w:cs="Arial"/>
          <w:szCs w:val="22"/>
          <w:lang w:eastAsia="en-US"/>
        </w:rPr>
        <w:t xml:space="preserve"> </w:t>
      </w:r>
      <w:r w:rsidR="007E6FF5" w:rsidRPr="000E5A31">
        <w:rPr>
          <w:rFonts w:eastAsia="Calibri" w:cs="Arial"/>
          <w:szCs w:val="22"/>
          <w:lang w:eastAsia="en-US"/>
        </w:rPr>
        <w:t>D</w:t>
      </w:r>
      <w:r w:rsidR="007D5F43" w:rsidRPr="000E5A31">
        <w:rPr>
          <w:rFonts w:eastAsia="Calibri" w:cs="Arial"/>
          <w:szCs w:val="22"/>
          <w:lang w:eastAsia="en-US"/>
        </w:rPr>
        <w:t xml:space="preserve">ie Vorstellung der Endversion ist </w:t>
      </w:r>
      <w:r w:rsidRPr="000E5A31">
        <w:rPr>
          <w:rFonts w:eastAsia="Calibri" w:cs="Arial"/>
          <w:szCs w:val="22"/>
          <w:lang w:eastAsia="en-US"/>
        </w:rPr>
        <w:t xml:space="preserve">im Rahmen der COP21 </w:t>
      </w:r>
      <w:r w:rsidR="007D5F43" w:rsidRPr="000E5A31">
        <w:rPr>
          <w:rFonts w:eastAsia="Calibri" w:cs="Arial"/>
          <w:szCs w:val="22"/>
          <w:lang w:eastAsia="en-US"/>
        </w:rPr>
        <w:t xml:space="preserve">im </w:t>
      </w:r>
      <w:r w:rsidRPr="000E5A31">
        <w:rPr>
          <w:rFonts w:eastAsia="Calibri" w:cs="Arial"/>
          <w:szCs w:val="22"/>
          <w:lang w:eastAsia="en-US"/>
        </w:rPr>
        <w:t>Nov</w:t>
      </w:r>
      <w:r w:rsidR="007D5F43" w:rsidRPr="000E5A31">
        <w:rPr>
          <w:rFonts w:eastAsia="Calibri" w:cs="Arial"/>
          <w:szCs w:val="22"/>
          <w:lang w:eastAsia="en-US"/>
        </w:rPr>
        <w:t xml:space="preserve">ember </w:t>
      </w:r>
      <w:r w:rsidRPr="000E5A31">
        <w:rPr>
          <w:rFonts w:eastAsia="Calibri" w:cs="Arial"/>
          <w:szCs w:val="22"/>
          <w:lang w:eastAsia="en-US"/>
        </w:rPr>
        <w:t xml:space="preserve">sowie </w:t>
      </w:r>
      <w:r w:rsidR="007D5F43" w:rsidRPr="000E5A31">
        <w:rPr>
          <w:rFonts w:eastAsia="Calibri" w:cs="Arial"/>
          <w:szCs w:val="22"/>
          <w:lang w:eastAsia="en-US"/>
        </w:rPr>
        <w:t xml:space="preserve">auf dem </w:t>
      </w:r>
      <w:r w:rsidRPr="000E5A31">
        <w:rPr>
          <w:rFonts w:eastAsia="Calibri" w:cs="Arial"/>
          <w:szCs w:val="22"/>
          <w:lang w:eastAsia="en-US"/>
        </w:rPr>
        <w:t xml:space="preserve">World Future Energy Summit </w:t>
      </w:r>
      <w:r w:rsidR="007D5F43" w:rsidRPr="000E5A31">
        <w:rPr>
          <w:rFonts w:eastAsia="Calibri" w:cs="Arial"/>
          <w:szCs w:val="22"/>
          <w:lang w:eastAsia="en-US"/>
        </w:rPr>
        <w:t xml:space="preserve">im </w:t>
      </w:r>
      <w:r w:rsidRPr="000E5A31">
        <w:rPr>
          <w:rFonts w:eastAsia="Calibri" w:cs="Arial"/>
          <w:szCs w:val="22"/>
          <w:lang w:eastAsia="en-US"/>
        </w:rPr>
        <w:t>Jan</w:t>
      </w:r>
      <w:r w:rsidR="007D5F43" w:rsidRPr="000E5A31">
        <w:rPr>
          <w:rFonts w:eastAsia="Calibri" w:cs="Arial"/>
          <w:szCs w:val="22"/>
          <w:lang w:eastAsia="en-US"/>
        </w:rPr>
        <w:t>uar geplant.</w:t>
      </w:r>
    </w:p>
    <w:p w:rsidR="00A4211E" w:rsidRPr="000E5A31" w:rsidRDefault="00714B11" w:rsidP="0086485D">
      <w:pPr>
        <w:spacing w:after="120"/>
        <w:rPr>
          <w:rFonts w:eastAsia="Calibri" w:cs="Arial"/>
          <w:szCs w:val="22"/>
          <w:lang w:eastAsia="en-US"/>
        </w:rPr>
      </w:pPr>
      <w:r w:rsidRPr="000E5A31">
        <w:rPr>
          <w:rFonts w:eastAsia="Calibri" w:cs="Arial"/>
          <w:szCs w:val="22"/>
          <w:lang w:eastAsia="en-US"/>
        </w:rPr>
        <w:lastRenderedPageBreak/>
        <w:t xml:space="preserve">Unterstützend und ergänzend hierzu wurde </w:t>
      </w:r>
      <w:r w:rsidRPr="000E5A31">
        <w:rPr>
          <w:rFonts w:eastAsia="Cambria" w:cs="Arial"/>
          <w:bCs/>
          <w:szCs w:val="22"/>
          <w:lang w:eastAsia="fr-FR"/>
        </w:rPr>
        <w:t xml:space="preserve">am Rande des World Future Energy Summit (WFES) in Abu Dhabi am 19.01.2015 ein gemeinsamer </w:t>
      </w:r>
      <w:r w:rsidR="00C85B6B" w:rsidRPr="000E5A31">
        <w:rPr>
          <w:rFonts w:eastAsia="Calibri" w:cs="Arial"/>
          <w:szCs w:val="22"/>
          <w:lang w:eastAsia="en-US"/>
        </w:rPr>
        <w:t xml:space="preserve">Workshop </w:t>
      </w:r>
      <w:r w:rsidR="00C85B6B" w:rsidRPr="000E5A31">
        <w:rPr>
          <w:rFonts w:eastAsia="Cambria" w:cs="Arial"/>
          <w:bCs/>
          <w:szCs w:val="22"/>
          <w:lang w:eastAsia="fr-FR"/>
        </w:rPr>
        <w:t>zum Thema „Sozio-ökonomische Wirkungen Erneuerbare</w:t>
      </w:r>
      <w:r w:rsidR="00C03506">
        <w:rPr>
          <w:rFonts w:eastAsia="Cambria" w:cs="Arial"/>
          <w:bCs/>
          <w:szCs w:val="22"/>
          <w:lang w:eastAsia="fr-FR"/>
        </w:rPr>
        <w:t>r</w:t>
      </w:r>
      <w:r w:rsidR="00C85B6B" w:rsidRPr="000E5A31">
        <w:rPr>
          <w:rFonts w:eastAsia="Cambria" w:cs="Arial"/>
          <w:bCs/>
          <w:szCs w:val="22"/>
          <w:lang w:eastAsia="fr-FR"/>
        </w:rPr>
        <w:t xml:space="preserve"> Energien“</w:t>
      </w:r>
      <w:r w:rsidRPr="000E5A31">
        <w:rPr>
          <w:rFonts w:eastAsia="Cambria" w:cs="Arial"/>
          <w:bCs/>
          <w:szCs w:val="22"/>
          <w:lang w:eastAsia="fr-FR"/>
        </w:rPr>
        <w:t xml:space="preserve"> </w:t>
      </w:r>
      <w:r w:rsidRPr="000E5A31">
        <w:rPr>
          <w:rFonts w:eastAsia="Calibri" w:cs="Arial"/>
          <w:szCs w:val="22"/>
          <w:lang w:eastAsia="en-US"/>
        </w:rPr>
        <w:t>mit IRENA und dem BMU</w:t>
      </w:r>
      <w:r w:rsidR="00080677" w:rsidRPr="000E5A31">
        <w:rPr>
          <w:rFonts w:eastAsia="Calibri" w:cs="Arial"/>
          <w:szCs w:val="22"/>
          <w:lang w:eastAsia="en-US"/>
        </w:rPr>
        <w:t>B</w:t>
      </w:r>
      <w:r w:rsidRPr="000E5A31">
        <w:rPr>
          <w:rFonts w:eastAsia="Calibri" w:cs="Arial"/>
          <w:szCs w:val="22"/>
          <w:lang w:eastAsia="en-US"/>
        </w:rPr>
        <w:t xml:space="preserve">-finanzierten GIZ Regionalvorhaben „Unterstützung des Politikdialogs und Wissensmanagements zu Niedrigemissionsstrategien und Erneuerbaren Energien </w:t>
      </w:r>
      <w:r w:rsidRPr="000E5A31">
        <w:rPr>
          <w:rFonts w:eastAsia="Cambria" w:cs="Arial"/>
          <w:bCs/>
          <w:szCs w:val="22"/>
          <w:lang w:eastAsia="fr-FR"/>
        </w:rPr>
        <w:t>mit der MENA Region“ (dem ehem</w:t>
      </w:r>
      <w:r w:rsidRPr="000E5A31">
        <w:rPr>
          <w:rFonts w:eastAsia="Cambria" w:cs="Arial"/>
          <w:bCs/>
          <w:szCs w:val="22"/>
          <w:lang w:eastAsia="fr-FR"/>
        </w:rPr>
        <w:t>a</w:t>
      </w:r>
      <w:r w:rsidRPr="000E5A31">
        <w:rPr>
          <w:rFonts w:eastAsia="Cambria" w:cs="Arial"/>
          <w:bCs/>
          <w:szCs w:val="22"/>
          <w:lang w:eastAsia="fr-FR"/>
        </w:rPr>
        <w:t xml:space="preserve">ligen Regionalvorhaben „Unterstützung des Mittelmeersolarplans“) durchgeführt. </w:t>
      </w:r>
      <w:r w:rsidR="00B03D7A" w:rsidRPr="000E5A31">
        <w:rPr>
          <w:rFonts w:eastAsia="Cambria" w:cs="Arial"/>
          <w:bCs/>
          <w:szCs w:val="22"/>
          <w:lang w:eastAsia="fr-FR"/>
        </w:rPr>
        <w:t>Die Tei</w:t>
      </w:r>
      <w:r w:rsidR="00B03D7A" w:rsidRPr="000E5A31">
        <w:rPr>
          <w:rFonts w:eastAsia="Cambria" w:cs="Arial"/>
          <w:bCs/>
          <w:szCs w:val="22"/>
          <w:lang w:eastAsia="fr-FR"/>
        </w:rPr>
        <w:t>l</w:t>
      </w:r>
      <w:r w:rsidR="00B03D7A" w:rsidRPr="000E5A31">
        <w:rPr>
          <w:rFonts w:eastAsia="Cambria" w:cs="Arial"/>
          <w:bCs/>
          <w:szCs w:val="22"/>
          <w:lang w:eastAsia="fr-FR"/>
        </w:rPr>
        <w:t>nehmer umfassten ein breites Spektrum an Regierungs-, Wirtschafts- und Wissenschaftsve</w:t>
      </w:r>
      <w:r w:rsidR="00B03D7A" w:rsidRPr="000E5A31">
        <w:rPr>
          <w:rFonts w:eastAsia="Cambria" w:cs="Arial"/>
          <w:bCs/>
          <w:szCs w:val="22"/>
          <w:lang w:eastAsia="fr-FR"/>
        </w:rPr>
        <w:t>r</w:t>
      </w:r>
      <w:r w:rsidR="00B03D7A" w:rsidRPr="000E5A31">
        <w:rPr>
          <w:rFonts w:eastAsia="Cambria" w:cs="Arial"/>
          <w:bCs/>
          <w:szCs w:val="22"/>
          <w:lang w:eastAsia="fr-FR"/>
        </w:rPr>
        <w:t>treter</w:t>
      </w:r>
      <w:r w:rsidR="00C03506">
        <w:rPr>
          <w:rFonts w:eastAsia="Cambria" w:cs="Arial"/>
          <w:bCs/>
          <w:szCs w:val="22"/>
          <w:lang w:eastAsia="fr-FR"/>
        </w:rPr>
        <w:t>n</w:t>
      </w:r>
      <w:r w:rsidR="00B03D7A" w:rsidRPr="000E5A31">
        <w:rPr>
          <w:rFonts w:eastAsia="Cambria" w:cs="Arial"/>
          <w:bCs/>
          <w:szCs w:val="22"/>
          <w:lang w:eastAsia="fr-FR"/>
        </w:rPr>
        <w:t xml:space="preserve"> aus eine</w:t>
      </w:r>
      <w:r w:rsidR="00C03506">
        <w:rPr>
          <w:rFonts w:eastAsia="Cambria" w:cs="Arial"/>
          <w:bCs/>
          <w:szCs w:val="22"/>
          <w:lang w:eastAsia="fr-FR"/>
        </w:rPr>
        <w:t>r</w:t>
      </w:r>
      <w:r w:rsidR="00B03D7A" w:rsidRPr="000E5A31">
        <w:rPr>
          <w:rFonts w:eastAsia="Cambria" w:cs="Arial"/>
          <w:bCs/>
          <w:szCs w:val="22"/>
          <w:lang w:eastAsia="fr-FR"/>
        </w:rPr>
        <w:t xml:space="preserve"> großen Zahl von MENA Partnerländern. </w:t>
      </w:r>
      <w:r w:rsidR="002845AE" w:rsidRPr="000E5A31">
        <w:rPr>
          <w:rFonts w:eastAsia="Cambria" w:cs="Arial"/>
          <w:bCs/>
          <w:szCs w:val="22"/>
          <w:lang w:eastAsia="fr-FR"/>
        </w:rPr>
        <w:t xml:space="preserve">Bei dieser Gelegenheit wurde </w:t>
      </w:r>
      <w:r w:rsidR="00B03D7A" w:rsidRPr="000E5A31">
        <w:rPr>
          <w:rFonts w:eastAsia="Cambria" w:cs="Arial"/>
          <w:bCs/>
          <w:szCs w:val="22"/>
          <w:lang w:eastAsia="fr-FR"/>
        </w:rPr>
        <w:t>ö</w:t>
      </w:r>
      <w:r w:rsidR="00B03D7A" w:rsidRPr="000E5A31">
        <w:rPr>
          <w:rFonts w:eastAsia="Cambria" w:cs="Arial"/>
          <w:bCs/>
          <w:szCs w:val="22"/>
          <w:lang w:eastAsia="fr-FR"/>
        </w:rPr>
        <w:t>f</w:t>
      </w:r>
      <w:r w:rsidR="00B03D7A" w:rsidRPr="000E5A31">
        <w:rPr>
          <w:rFonts w:eastAsia="Cambria" w:cs="Arial"/>
          <w:bCs/>
          <w:szCs w:val="22"/>
          <w:lang w:eastAsia="fr-FR"/>
        </w:rPr>
        <w:t xml:space="preserve">fentlichkeitswirksam </w:t>
      </w:r>
      <w:r w:rsidR="002845AE" w:rsidRPr="000E5A31">
        <w:rPr>
          <w:rFonts w:eastAsia="Cambria" w:cs="Arial"/>
          <w:bCs/>
          <w:szCs w:val="22"/>
          <w:lang w:eastAsia="fr-FR"/>
        </w:rPr>
        <w:t>eine Übergabe und Weiterführung der sozio-ökonomischen Kompone</w:t>
      </w:r>
      <w:r w:rsidR="002845AE" w:rsidRPr="000E5A31">
        <w:rPr>
          <w:rFonts w:eastAsia="Cambria" w:cs="Arial"/>
          <w:bCs/>
          <w:szCs w:val="22"/>
          <w:lang w:eastAsia="fr-FR"/>
        </w:rPr>
        <w:t>n</w:t>
      </w:r>
      <w:r w:rsidR="002845AE" w:rsidRPr="000E5A31">
        <w:rPr>
          <w:rFonts w:eastAsia="Cambria" w:cs="Arial"/>
          <w:bCs/>
          <w:szCs w:val="22"/>
          <w:lang w:eastAsia="fr-FR"/>
        </w:rPr>
        <w:t xml:space="preserve">te des </w:t>
      </w:r>
      <w:r w:rsidR="009D2AC0" w:rsidRPr="000E5A31">
        <w:rPr>
          <w:rFonts w:eastAsia="Cambria" w:cs="Arial"/>
          <w:bCs/>
          <w:szCs w:val="22"/>
          <w:lang w:eastAsia="fr-FR"/>
        </w:rPr>
        <w:t>MSP-Vorhabens durch RE-ACTIVATE organisiert und zugl</w:t>
      </w:r>
      <w:r w:rsidR="00B03D7A" w:rsidRPr="000E5A31">
        <w:rPr>
          <w:rFonts w:eastAsia="Cambria" w:cs="Arial"/>
          <w:bCs/>
          <w:szCs w:val="22"/>
          <w:lang w:eastAsia="fr-FR"/>
        </w:rPr>
        <w:t>e</w:t>
      </w:r>
      <w:r w:rsidR="009D2AC0" w:rsidRPr="000E5A31">
        <w:rPr>
          <w:rFonts w:eastAsia="Cambria" w:cs="Arial"/>
          <w:bCs/>
          <w:szCs w:val="22"/>
          <w:lang w:eastAsia="fr-FR"/>
        </w:rPr>
        <w:t xml:space="preserve">ich eine Kooperation </w:t>
      </w:r>
      <w:r w:rsidR="00A4211E" w:rsidRPr="000E5A31">
        <w:rPr>
          <w:rFonts w:eastAsia="Cambria" w:cs="Arial"/>
          <w:bCs/>
          <w:szCs w:val="22"/>
          <w:lang w:eastAsia="fr-FR"/>
        </w:rPr>
        <w:t xml:space="preserve">mit IRENA über </w:t>
      </w:r>
      <w:r w:rsidR="009D2AC0" w:rsidRPr="000E5A31">
        <w:rPr>
          <w:rFonts w:eastAsia="Cambria" w:cs="Arial"/>
          <w:bCs/>
          <w:szCs w:val="22"/>
          <w:lang w:eastAsia="fr-FR"/>
        </w:rPr>
        <w:t xml:space="preserve">die </w:t>
      </w:r>
      <w:r w:rsidR="00A4211E" w:rsidRPr="000E5A31">
        <w:rPr>
          <w:rFonts w:eastAsia="Cambria" w:cs="Arial"/>
          <w:bCs/>
          <w:szCs w:val="22"/>
          <w:lang w:eastAsia="fr-FR"/>
        </w:rPr>
        <w:t xml:space="preserve">gegenseitige </w:t>
      </w:r>
      <w:r w:rsidR="00B03D7A" w:rsidRPr="000E5A31">
        <w:rPr>
          <w:rFonts w:eastAsia="Cambria" w:cs="Arial"/>
          <w:bCs/>
          <w:szCs w:val="22"/>
          <w:lang w:eastAsia="fr-FR"/>
        </w:rPr>
        <w:t xml:space="preserve">Unterrichtung und </w:t>
      </w:r>
      <w:r w:rsidR="00A4211E" w:rsidRPr="000E5A31">
        <w:rPr>
          <w:rFonts w:eastAsia="Cambria" w:cs="Arial"/>
          <w:bCs/>
          <w:szCs w:val="22"/>
          <w:lang w:eastAsia="fr-FR"/>
        </w:rPr>
        <w:t xml:space="preserve">Unterstützung bei </w:t>
      </w:r>
      <w:r w:rsidR="009D2AC0" w:rsidRPr="000E5A31">
        <w:rPr>
          <w:rFonts w:eastAsia="Cambria" w:cs="Arial"/>
          <w:bCs/>
          <w:szCs w:val="22"/>
          <w:lang w:eastAsia="fr-FR"/>
        </w:rPr>
        <w:t xml:space="preserve">der </w:t>
      </w:r>
      <w:r w:rsidR="00A4211E" w:rsidRPr="000E5A31">
        <w:rPr>
          <w:rFonts w:eastAsia="Cambria" w:cs="Arial"/>
          <w:bCs/>
          <w:szCs w:val="22"/>
          <w:lang w:eastAsia="fr-FR"/>
        </w:rPr>
        <w:t xml:space="preserve">Erfassung und </w:t>
      </w:r>
      <w:r w:rsidR="009D2AC0" w:rsidRPr="000E5A31">
        <w:rPr>
          <w:rFonts w:eastAsia="Cambria" w:cs="Arial"/>
          <w:bCs/>
          <w:szCs w:val="22"/>
          <w:lang w:eastAsia="fr-FR"/>
        </w:rPr>
        <w:t>Dok</w:t>
      </w:r>
      <w:r w:rsidR="009D2AC0" w:rsidRPr="000E5A31">
        <w:rPr>
          <w:rFonts w:eastAsia="Cambria" w:cs="Arial"/>
          <w:bCs/>
          <w:szCs w:val="22"/>
          <w:lang w:eastAsia="fr-FR"/>
        </w:rPr>
        <w:t>u</w:t>
      </w:r>
      <w:r w:rsidR="009D2AC0" w:rsidRPr="000E5A31">
        <w:rPr>
          <w:rFonts w:eastAsia="Cambria" w:cs="Arial"/>
          <w:bCs/>
          <w:szCs w:val="22"/>
          <w:lang w:eastAsia="fr-FR"/>
        </w:rPr>
        <w:t>mentat</w:t>
      </w:r>
      <w:r w:rsidR="009D2AC0" w:rsidRPr="000E5A31">
        <w:rPr>
          <w:rFonts w:eastAsia="Cambria" w:cs="Arial"/>
          <w:bCs/>
          <w:szCs w:val="22"/>
          <w:lang w:eastAsia="fr-FR"/>
        </w:rPr>
        <w:t>i</w:t>
      </w:r>
      <w:r w:rsidR="009D2AC0" w:rsidRPr="000E5A31">
        <w:rPr>
          <w:rFonts w:eastAsia="Cambria" w:cs="Arial"/>
          <w:bCs/>
          <w:szCs w:val="22"/>
          <w:lang w:eastAsia="fr-FR"/>
        </w:rPr>
        <w:t xml:space="preserve">on </w:t>
      </w:r>
      <w:r w:rsidR="00A4211E" w:rsidRPr="000E5A31">
        <w:rPr>
          <w:rFonts w:eastAsia="Cambria" w:cs="Arial"/>
          <w:bCs/>
          <w:szCs w:val="22"/>
          <w:lang w:eastAsia="fr-FR"/>
        </w:rPr>
        <w:t>von RE/EE Beschäftigungswirkungen in MENA</w:t>
      </w:r>
      <w:r w:rsidR="009D2AC0" w:rsidRPr="000E5A31">
        <w:rPr>
          <w:rFonts w:eastAsia="Cambria" w:cs="Arial"/>
          <w:bCs/>
          <w:szCs w:val="22"/>
          <w:lang w:eastAsia="fr-FR"/>
        </w:rPr>
        <w:t xml:space="preserve"> vereinbart</w:t>
      </w:r>
      <w:r w:rsidR="00A4211E" w:rsidRPr="000E5A31">
        <w:rPr>
          <w:rFonts w:eastAsia="Cambria" w:cs="Arial"/>
          <w:bCs/>
          <w:szCs w:val="22"/>
          <w:lang w:eastAsia="fr-FR"/>
        </w:rPr>
        <w:t>.</w:t>
      </w:r>
    </w:p>
    <w:p w:rsidR="00A4211E" w:rsidRPr="000E5A31" w:rsidRDefault="009D2AC0" w:rsidP="0086485D">
      <w:pPr>
        <w:spacing w:after="120"/>
        <w:rPr>
          <w:rFonts w:eastAsia="Calibri" w:cs="Arial"/>
          <w:szCs w:val="22"/>
          <w:lang w:eastAsia="en-US"/>
        </w:rPr>
      </w:pPr>
      <w:r w:rsidRPr="000E5A31">
        <w:rPr>
          <w:rFonts w:eastAsia="Calibri" w:cs="Arial"/>
          <w:szCs w:val="22"/>
          <w:lang w:eastAsia="en-US"/>
        </w:rPr>
        <w:t xml:space="preserve">Des </w:t>
      </w:r>
      <w:r w:rsidR="00714B11" w:rsidRPr="000E5A31">
        <w:rPr>
          <w:rFonts w:eastAsia="Calibri" w:cs="Arial"/>
          <w:szCs w:val="22"/>
          <w:lang w:eastAsia="en-US"/>
        </w:rPr>
        <w:t>Weiteren</w:t>
      </w:r>
      <w:r w:rsidRPr="000E5A31">
        <w:rPr>
          <w:rFonts w:eastAsia="Calibri" w:cs="Arial"/>
          <w:szCs w:val="22"/>
          <w:lang w:eastAsia="en-US"/>
        </w:rPr>
        <w:t xml:space="preserve"> wurde </w:t>
      </w:r>
      <w:r w:rsidR="00A4211E" w:rsidRPr="000E5A31">
        <w:rPr>
          <w:rFonts w:eastAsia="Calibri" w:cs="Arial"/>
          <w:szCs w:val="22"/>
          <w:lang w:eastAsia="en-US"/>
        </w:rPr>
        <w:t xml:space="preserve">mit RCREEE </w:t>
      </w:r>
      <w:r w:rsidRPr="000E5A31">
        <w:rPr>
          <w:rFonts w:eastAsia="Calibri" w:cs="Arial"/>
          <w:szCs w:val="22"/>
          <w:lang w:eastAsia="en-US"/>
        </w:rPr>
        <w:t xml:space="preserve">die </w:t>
      </w:r>
      <w:r w:rsidR="00A4211E" w:rsidRPr="000E5A31">
        <w:rPr>
          <w:rFonts w:eastAsia="Calibri" w:cs="Arial"/>
          <w:szCs w:val="22"/>
          <w:lang w:eastAsia="en-US"/>
        </w:rPr>
        <w:t xml:space="preserve">Durchführung </w:t>
      </w:r>
      <w:r w:rsidR="00C85B6B" w:rsidRPr="000E5A31">
        <w:rPr>
          <w:rFonts w:eastAsia="Calibri" w:cs="Arial"/>
          <w:szCs w:val="22"/>
          <w:lang w:eastAsia="en-US"/>
        </w:rPr>
        <w:t xml:space="preserve">zweier „tiefer“ RE/EE </w:t>
      </w:r>
      <w:r w:rsidR="00C85B6B" w:rsidRPr="000E5A31">
        <w:rPr>
          <w:rFonts w:eastAsia="Cambria" w:cs="Arial"/>
          <w:bCs/>
          <w:szCs w:val="22"/>
          <w:lang w:eastAsia="fr-FR"/>
        </w:rPr>
        <w:t>Beschäftigung</w:t>
      </w:r>
      <w:r w:rsidR="00C85B6B" w:rsidRPr="000E5A31">
        <w:rPr>
          <w:rFonts w:eastAsia="Cambria" w:cs="Arial"/>
          <w:bCs/>
          <w:szCs w:val="22"/>
          <w:lang w:eastAsia="fr-FR"/>
        </w:rPr>
        <w:t>s</w:t>
      </w:r>
      <w:r w:rsidR="00C85B6B" w:rsidRPr="000E5A31">
        <w:rPr>
          <w:rFonts w:eastAsia="Cambria" w:cs="Arial"/>
          <w:bCs/>
          <w:szCs w:val="22"/>
          <w:lang w:eastAsia="fr-FR"/>
        </w:rPr>
        <w:t>studien</w:t>
      </w:r>
      <w:r w:rsidR="00A4211E" w:rsidRPr="000E5A31">
        <w:rPr>
          <w:rFonts w:eastAsia="Cambria" w:cs="Arial"/>
          <w:bCs/>
          <w:szCs w:val="22"/>
          <w:lang w:eastAsia="fr-FR"/>
        </w:rPr>
        <w:t xml:space="preserve"> </w:t>
      </w:r>
      <w:r w:rsidRPr="000E5A31">
        <w:rPr>
          <w:rFonts w:eastAsia="Cambria" w:cs="Arial"/>
          <w:bCs/>
          <w:szCs w:val="22"/>
          <w:lang w:eastAsia="fr-FR"/>
        </w:rPr>
        <w:t>besc</w:t>
      </w:r>
      <w:r w:rsidR="00AB13CB" w:rsidRPr="000E5A31">
        <w:rPr>
          <w:rFonts w:eastAsia="Cambria" w:cs="Arial"/>
          <w:bCs/>
          <w:szCs w:val="22"/>
          <w:lang w:eastAsia="fr-FR"/>
        </w:rPr>
        <w:t xml:space="preserve">hlossen, die im Rahmen des </w:t>
      </w:r>
      <w:r w:rsidR="00A4211E" w:rsidRPr="000E5A31">
        <w:rPr>
          <w:rFonts w:eastAsia="Cambria" w:cs="Arial"/>
          <w:bCs/>
          <w:szCs w:val="22"/>
          <w:lang w:eastAsia="fr-FR"/>
        </w:rPr>
        <w:t xml:space="preserve">Finanzierungsvertrags </w:t>
      </w:r>
      <w:r w:rsidRPr="000E5A31">
        <w:rPr>
          <w:rFonts w:eastAsia="Cambria" w:cs="Arial"/>
          <w:bCs/>
          <w:szCs w:val="22"/>
          <w:lang w:eastAsia="fr-FR"/>
        </w:rPr>
        <w:t>umgesetzt werden und die</w:t>
      </w:r>
      <w:r w:rsidR="0086485D" w:rsidRPr="000E5A31">
        <w:rPr>
          <w:rFonts w:eastAsia="Cambria" w:cs="Arial"/>
          <w:bCs/>
          <w:szCs w:val="22"/>
          <w:lang w:eastAsia="fr-FR"/>
        </w:rPr>
        <w:t xml:space="preserve"> im Gegensatz zu den bisher </w:t>
      </w:r>
      <w:r w:rsidRPr="000E5A31">
        <w:rPr>
          <w:rFonts w:eastAsia="Cambria" w:cs="Arial"/>
          <w:bCs/>
          <w:szCs w:val="22"/>
          <w:lang w:eastAsia="fr-FR"/>
        </w:rPr>
        <w:t xml:space="preserve">vorliegenden </w:t>
      </w:r>
      <w:r w:rsidR="0086485D" w:rsidRPr="000E5A31">
        <w:rPr>
          <w:rFonts w:eastAsia="Cambria" w:cs="Arial"/>
          <w:bCs/>
          <w:szCs w:val="22"/>
          <w:lang w:eastAsia="fr-FR"/>
        </w:rPr>
        <w:t xml:space="preserve">Studien </w:t>
      </w:r>
      <w:r w:rsidRPr="000E5A31">
        <w:rPr>
          <w:rFonts w:eastAsia="Cambria" w:cs="Arial"/>
          <w:bCs/>
          <w:szCs w:val="22"/>
          <w:lang w:eastAsia="fr-FR"/>
        </w:rPr>
        <w:t xml:space="preserve">auch </w:t>
      </w:r>
      <w:r w:rsidR="0086485D" w:rsidRPr="000E5A31">
        <w:rPr>
          <w:rFonts w:eastAsia="Cambria" w:cs="Arial"/>
          <w:bCs/>
          <w:szCs w:val="22"/>
          <w:lang w:eastAsia="fr-FR"/>
        </w:rPr>
        <w:t xml:space="preserve">insbesondere den </w:t>
      </w:r>
      <w:r w:rsidR="0086485D" w:rsidRPr="000E5A31">
        <w:rPr>
          <w:rFonts w:eastAsia="Calibri" w:cs="Arial"/>
          <w:szCs w:val="22"/>
          <w:lang w:eastAsia="en-US"/>
        </w:rPr>
        <w:t>vernachlässigten (beschäftigungsintensiven) Dienstleistungssektor</w:t>
      </w:r>
      <w:r w:rsidR="0086485D" w:rsidRPr="000E5A31">
        <w:rPr>
          <w:rFonts w:eastAsia="Cambria" w:cs="Arial"/>
          <w:bCs/>
          <w:szCs w:val="22"/>
          <w:lang w:eastAsia="fr-FR"/>
        </w:rPr>
        <w:t xml:space="preserve"> einbinden sollen</w:t>
      </w:r>
      <w:r w:rsidRPr="000E5A31">
        <w:rPr>
          <w:rFonts w:eastAsia="Cambria" w:cs="Arial"/>
          <w:bCs/>
          <w:szCs w:val="22"/>
          <w:lang w:eastAsia="fr-FR"/>
        </w:rPr>
        <w:t>. Die erste Länderstudie wird sich</w:t>
      </w:r>
      <w:r w:rsidR="00A4211E" w:rsidRPr="000E5A31">
        <w:rPr>
          <w:rFonts w:eastAsia="Cambria" w:cs="Arial"/>
          <w:bCs/>
          <w:szCs w:val="22"/>
          <w:lang w:eastAsia="fr-FR"/>
        </w:rPr>
        <w:t xml:space="preserve"> mit Tunesien</w:t>
      </w:r>
      <w:r w:rsidRPr="000E5A31">
        <w:rPr>
          <w:rFonts w:eastAsia="Cambria" w:cs="Arial"/>
          <w:bCs/>
          <w:szCs w:val="22"/>
          <w:lang w:eastAsia="fr-FR"/>
        </w:rPr>
        <w:t xml:space="preserve"> befassen</w:t>
      </w:r>
      <w:r w:rsidR="00A4211E" w:rsidRPr="000E5A31">
        <w:rPr>
          <w:rFonts w:eastAsia="Cambria" w:cs="Arial"/>
          <w:bCs/>
          <w:szCs w:val="22"/>
          <w:lang w:eastAsia="fr-FR"/>
        </w:rPr>
        <w:t xml:space="preserve">, </w:t>
      </w:r>
      <w:r w:rsidRPr="000E5A31">
        <w:rPr>
          <w:rFonts w:eastAsia="Cambria" w:cs="Arial"/>
          <w:bCs/>
          <w:szCs w:val="22"/>
          <w:lang w:eastAsia="fr-FR"/>
        </w:rPr>
        <w:t xml:space="preserve">die zweite </w:t>
      </w:r>
      <w:r w:rsidR="00A4211E" w:rsidRPr="000E5A31">
        <w:rPr>
          <w:rFonts w:eastAsia="Cambria" w:cs="Arial"/>
          <w:bCs/>
          <w:szCs w:val="22"/>
          <w:lang w:eastAsia="fr-FR"/>
        </w:rPr>
        <w:t>mit Marokko, Ägypten oder Jordanien</w:t>
      </w:r>
      <w:r w:rsidRPr="000E5A31">
        <w:rPr>
          <w:rFonts w:eastAsia="Calibri" w:cs="Arial"/>
          <w:szCs w:val="22"/>
          <w:lang w:eastAsia="en-US"/>
        </w:rPr>
        <w:t xml:space="preserve">. </w:t>
      </w:r>
      <w:r w:rsidRPr="000E5A31">
        <w:rPr>
          <w:rFonts w:eastAsia="Cambria" w:cs="Arial"/>
          <w:bCs/>
          <w:szCs w:val="22"/>
          <w:lang w:eastAsia="fr-FR"/>
        </w:rPr>
        <w:t>Veröffen</w:t>
      </w:r>
      <w:r w:rsidRPr="000E5A31">
        <w:rPr>
          <w:rFonts w:eastAsia="Cambria" w:cs="Arial"/>
          <w:bCs/>
          <w:szCs w:val="22"/>
          <w:lang w:eastAsia="fr-FR"/>
        </w:rPr>
        <w:t>t</w:t>
      </w:r>
      <w:r w:rsidRPr="000E5A31">
        <w:rPr>
          <w:rFonts w:eastAsia="Cambria" w:cs="Arial"/>
          <w:bCs/>
          <w:szCs w:val="22"/>
          <w:lang w:eastAsia="fr-FR"/>
        </w:rPr>
        <w:t xml:space="preserve">licht und vermarktet werden die Ergebnisse im Rahmen </w:t>
      </w:r>
      <w:r w:rsidR="00AB13CB" w:rsidRPr="000E5A31">
        <w:rPr>
          <w:rFonts w:eastAsia="Cambria" w:cs="Arial"/>
          <w:bCs/>
          <w:szCs w:val="22"/>
          <w:lang w:eastAsia="fr-FR"/>
        </w:rPr>
        <w:t xml:space="preserve">des </w:t>
      </w:r>
      <w:r w:rsidRPr="000E5A31">
        <w:rPr>
          <w:rFonts w:eastAsia="Cambria" w:cs="Arial"/>
          <w:bCs/>
          <w:szCs w:val="22"/>
          <w:lang w:eastAsia="fr-FR"/>
        </w:rPr>
        <w:t>Arab Future Energy Index (AFEX)</w:t>
      </w:r>
      <w:r w:rsidR="00AB13CB" w:rsidRPr="000E5A31">
        <w:rPr>
          <w:rFonts w:eastAsia="Cambria" w:cs="Arial"/>
          <w:bCs/>
          <w:szCs w:val="22"/>
          <w:lang w:eastAsia="fr-FR"/>
        </w:rPr>
        <w:t xml:space="preserve"> von RCREEE, eines regelmäßig aktualisierten, gesamtregionalen Ratings, mit dem die Länder der MENA Region einer einheitlichen Bewertung unterzogen werden und</w:t>
      </w:r>
      <w:r w:rsidRPr="000E5A31">
        <w:rPr>
          <w:rFonts w:eastAsia="Cambria" w:cs="Arial"/>
          <w:bCs/>
          <w:szCs w:val="22"/>
          <w:lang w:eastAsia="fr-FR"/>
        </w:rPr>
        <w:t xml:space="preserve"> in den fortan mit Hilfe dieser Studien ein neues Kapitel und ein neuer Indikator zum Thema „Private Sector and Labor Market Readiness“ eingeführt werden soll.</w:t>
      </w:r>
    </w:p>
    <w:p w:rsidR="00A4211E" w:rsidRPr="000E5A31" w:rsidRDefault="00B03D7A" w:rsidP="0086485D">
      <w:pPr>
        <w:spacing w:after="120"/>
        <w:rPr>
          <w:rFonts w:eastAsia="Calibri" w:cs="Arial"/>
          <w:szCs w:val="22"/>
          <w:lang w:eastAsia="en-US"/>
        </w:rPr>
      </w:pPr>
      <w:r w:rsidRPr="000E5A31">
        <w:rPr>
          <w:rFonts w:eastAsia="Calibri" w:cs="Arial"/>
          <w:szCs w:val="22"/>
          <w:lang w:eastAsia="en-US"/>
        </w:rPr>
        <w:t>Zur Abrundung und Untermauerung dieser Aktivitäten wurden von RE-ACTIVATE Teammi</w:t>
      </w:r>
      <w:r w:rsidRPr="000E5A31">
        <w:rPr>
          <w:rFonts w:eastAsia="Calibri" w:cs="Arial"/>
          <w:szCs w:val="22"/>
          <w:lang w:eastAsia="en-US"/>
        </w:rPr>
        <w:t>t</w:t>
      </w:r>
      <w:r w:rsidRPr="000E5A31">
        <w:rPr>
          <w:rFonts w:eastAsia="Calibri" w:cs="Arial"/>
          <w:szCs w:val="22"/>
          <w:lang w:eastAsia="en-US"/>
        </w:rPr>
        <w:t xml:space="preserve">gliedern bislang </w:t>
      </w:r>
      <w:r w:rsidR="00C85B6B" w:rsidRPr="000E5A31">
        <w:rPr>
          <w:rFonts w:eastAsia="Calibri" w:cs="Arial"/>
          <w:szCs w:val="22"/>
          <w:lang w:eastAsia="en-US"/>
        </w:rPr>
        <w:t>mehrere Kurzsachstände und Überblicksdarstellungen</w:t>
      </w:r>
      <w:r w:rsidRPr="000E5A31">
        <w:rPr>
          <w:rFonts w:eastAsia="Calibri" w:cs="Arial"/>
          <w:szCs w:val="22"/>
          <w:lang w:eastAsia="en-US"/>
        </w:rPr>
        <w:t xml:space="preserve"> zu Schwerpunktth</w:t>
      </w:r>
      <w:r w:rsidRPr="000E5A31">
        <w:rPr>
          <w:rFonts w:eastAsia="Calibri" w:cs="Arial"/>
          <w:szCs w:val="22"/>
          <w:lang w:eastAsia="en-US"/>
        </w:rPr>
        <w:t>e</w:t>
      </w:r>
      <w:r w:rsidRPr="000E5A31">
        <w:rPr>
          <w:rFonts w:eastAsia="Calibri" w:cs="Arial"/>
          <w:szCs w:val="22"/>
          <w:lang w:eastAsia="en-US"/>
        </w:rPr>
        <w:t>men des Vorhabens erstellt und im Partner- und Kollegenkreis verteilt</w:t>
      </w:r>
      <w:r w:rsidR="00A4211E" w:rsidRPr="000E5A31">
        <w:rPr>
          <w:rFonts w:eastAsia="Calibri" w:cs="Arial"/>
          <w:szCs w:val="22"/>
          <w:lang w:eastAsia="en-US"/>
        </w:rPr>
        <w:t>:</w:t>
      </w:r>
      <w:r w:rsidRPr="000E5A31">
        <w:rPr>
          <w:rFonts w:eastAsia="Calibri" w:cs="Arial"/>
          <w:szCs w:val="22"/>
          <w:lang w:eastAsia="en-US"/>
        </w:rPr>
        <w:t xml:space="preserve"> Hierzu gehört insb</w:t>
      </w:r>
      <w:r w:rsidRPr="000E5A31">
        <w:rPr>
          <w:rFonts w:eastAsia="Calibri" w:cs="Arial"/>
          <w:szCs w:val="22"/>
          <w:lang w:eastAsia="en-US"/>
        </w:rPr>
        <w:t>e</w:t>
      </w:r>
      <w:r w:rsidRPr="000E5A31">
        <w:rPr>
          <w:rFonts w:eastAsia="Calibri" w:cs="Arial"/>
          <w:szCs w:val="22"/>
          <w:lang w:eastAsia="en-US"/>
        </w:rPr>
        <w:t xml:space="preserve">sondere ein </w:t>
      </w:r>
      <w:r w:rsidR="00A4211E" w:rsidRPr="000E5A31">
        <w:rPr>
          <w:rFonts w:eastAsia="Cambria" w:cs="Arial"/>
          <w:bCs/>
          <w:szCs w:val="22"/>
          <w:lang w:eastAsia="fr-FR"/>
        </w:rPr>
        <w:t xml:space="preserve">aktualisierter Sachstand zu politisch-rechtlichen Rahmenbedingungen </w:t>
      </w:r>
      <w:r w:rsidRPr="000E5A31">
        <w:rPr>
          <w:rFonts w:eastAsia="Cambria" w:cs="Arial"/>
          <w:bCs/>
          <w:szCs w:val="22"/>
          <w:lang w:eastAsia="fr-FR"/>
        </w:rPr>
        <w:t>und</w:t>
      </w:r>
      <w:r w:rsidR="00A4211E" w:rsidRPr="000E5A31">
        <w:rPr>
          <w:rFonts w:eastAsia="Cambria" w:cs="Arial"/>
          <w:bCs/>
          <w:szCs w:val="22"/>
          <w:lang w:eastAsia="fr-FR"/>
        </w:rPr>
        <w:t xml:space="preserve"> Fö</w:t>
      </w:r>
      <w:r w:rsidR="00A4211E" w:rsidRPr="000E5A31">
        <w:rPr>
          <w:rFonts w:eastAsia="Cambria" w:cs="Arial"/>
          <w:bCs/>
          <w:szCs w:val="22"/>
          <w:lang w:eastAsia="fr-FR"/>
        </w:rPr>
        <w:t>r</w:t>
      </w:r>
      <w:r w:rsidR="00A4211E" w:rsidRPr="000E5A31">
        <w:rPr>
          <w:rFonts w:eastAsia="Cambria" w:cs="Arial"/>
          <w:bCs/>
          <w:szCs w:val="22"/>
          <w:lang w:eastAsia="fr-FR"/>
        </w:rPr>
        <w:t>derinstrumenten für verteilte RE</w:t>
      </w:r>
      <w:r w:rsidR="00080677" w:rsidRPr="000E5A31">
        <w:rPr>
          <w:rFonts w:eastAsia="Cambria" w:cs="Arial"/>
          <w:bCs/>
          <w:szCs w:val="22"/>
          <w:lang w:eastAsia="fr-FR"/>
        </w:rPr>
        <w:t>/</w:t>
      </w:r>
      <w:r w:rsidR="00A4211E" w:rsidRPr="000E5A31">
        <w:rPr>
          <w:rFonts w:eastAsia="Cambria" w:cs="Arial"/>
          <w:bCs/>
          <w:szCs w:val="22"/>
          <w:lang w:eastAsia="fr-FR"/>
        </w:rPr>
        <w:t>EE</w:t>
      </w:r>
      <w:r w:rsidRPr="000E5A31">
        <w:rPr>
          <w:rFonts w:eastAsia="Cambria" w:cs="Arial"/>
          <w:bCs/>
          <w:szCs w:val="22"/>
          <w:lang w:eastAsia="fr-FR"/>
        </w:rPr>
        <w:t xml:space="preserve"> sowie ein </w:t>
      </w:r>
      <w:r w:rsidR="00A4211E" w:rsidRPr="000E5A31">
        <w:rPr>
          <w:rFonts w:eastAsia="Cambria" w:cs="Arial"/>
          <w:bCs/>
          <w:szCs w:val="22"/>
          <w:lang w:eastAsia="fr-FR"/>
        </w:rPr>
        <w:t xml:space="preserve">aktualisierter Sachstand zu </w:t>
      </w:r>
      <w:r w:rsidRPr="000E5A31">
        <w:rPr>
          <w:rFonts w:eastAsia="Cambria" w:cs="Arial"/>
          <w:bCs/>
          <w:szCs w:val="22"/>
          <w:lang w:eastAsia="fr-FR"/>
        </w:rPr>
        <w:t xml:space="preserve">bislang </w:t>
      </w:r>
      <w:r w:rsidR="00A4211E" w:rsidRPr="000E5A31">
        <w:rPr>
          <w:rFonts w:eastAsia="Cambria" w:cs="Arial"/>
          <w:bCs/>
          <w:szCs w:val="22"/>
          <w:lang w:eastAsia="fr-FR"/>
        </w:rPr>
        <w:t>beobach</w:t>
      </w:r>
      <w:r w:rsidR="00A4211E" w:rsidRPr="000E5A31">
        <w:rPr>
          <w:rFonts w:eastAsia="Cambria" w:cs="Arial"/>
          <w:bCs/>
          <w:szCs w:val="22"/>
          <w:lang w:eastAsia="fr-FR"/>
        </w:rPr>
        <w:t>t</w:t>
      </w:r>
      <w:r w:rsidR="00A4211E" w:rsidRPr="000E5A31">
        <w:rPr>
          <w:rFonts w:eastAsia="Cambria" w:cs="Arial"/>
          <w:bCs/>
          <w:szCs w:val="22"/>
          <w:lang w:eastAsia="fr-FR"/>
        </w:rPr>
        <w:t>baren RE/EE</w:t>
      </w:r>
      <w:r w:rsidR="00080677" w:rsidRPr="000E5A31">
        <w:rPr>
          <w:rFonts w:eastAsia="Cambria" w:cs="Arial"/>
          <w:bCs/>
          <w:szCs w:val="22"/>
          <w:lang w:eastAsia="fr-FR"/>
        </w:rPr>
        <w:t>-</w:t>
      </w:r>
      <w:r w:rsidR="00A4211E" w:rsidRPr="000E5A31">
        <w:rPr>
          <w:rFonts w:eastAsia="Cambria" w:cs="Arial"/>
          <w:bCs/>
          <w:szCs w:val="22"/>
          <w:lang w:eastAsia="fr-FR"/>
        </w:rPr>
        <w:t xml:space="preserve">Beschäftigungseffekten </w:t>
      </w:r>
      <w:r w:rsidRPr="000E5A31">
        <w:rPr>
          <w:rFonts w:eastAsia="Cambria" w:cs="Arial"/>
          <w:bCs/>
          <w:szCs w:val="22"/>
          <w:lang w:eastAsia="fr-FR"/>
        </w:rPr>
        <w:t xml:space="preserve">(jeweils in den </w:t>
      </w:r>
      <w:r w:rsidR="00A4211E" w:rsidRPr="000E5A31">
        <w:rPr>
          <w:rFonts w:eastAsia="Cambria" w:cs="Arial"/>
          <w:bCs/>
          <w:szCs w:val="22"/>
          <w:lang w:eastAsia="fr-FR"/>
        </w:rPr>
        <w:t>RE-ACTIVATE Fokuslän</w:t>
      </w:r>
      <w:r w:rsidRPr="000E5A31">
        <w:rPr>
          <w:rFonts w:eastAsia="Cambria" w:cs="Arial"/>
          <w:bCs/>
          <w:szCs w:val="22"/>
          <w:lang w:eastAsia="fr-FR"/>
        </w:rPr>
        <w:t>dern)</w:t>
      </w:r>
      <w:r w:rsidR="00A4211E" w:rsidRPr="000E5A31">
        <w:rPr>
          <w:rFonts w:eastAsia="Cambria" w:cs="Arial"/>
          <w:bCs/>
          <w:szCs w:val="22"/>
          <w:lang w:eastAsia="fr-FR"/>
        </w:rPr>
        <w:t>.</w:t>
      </w:r>
    </w:p>
    <w:p w:rsidR="00A4211E" w:rsidRPr="000E5A31" w:rsidRDefault="006B6ED0" w:rsidP="007D5F43">
      <w:pPr>
        <w:spacing w:after="120"/>
        <w:rPr>
          <w:rFonts w:cs="Arial"/>
          <w:szCs w:val="22"/>
        </w:rPr>
      </w:pPr>
      <w:r w:rsidRPr="000E5A31">
        <w:rPr>
          <w:rFonts w:cs="Arial"/>
          <w:b/>
          <w:szCs w:val="22"/>
        </w:rPr>
        <w:t>Indikator 2:</w:t>
      </w:r>
      <w:r w:rsidRPr="000E5A31">
        <w:rPr>
          <w:rFonts w:cs="Arial"/>
          <w:szCs w:val="22"/>
        </w:rPr>
        <w:t xml:space="preserve"> In 2 Ländern werden Maßnahmen zur Förderung spezifischer, beschäftigung</w:t>
      </w:r>
      <w:r w:rsidRPr="000E5A31">
        <w:rPr>
          <w:rFonts w:cs="Arial"/>
          <w:szCs w:val="22"/>
        </w:rPr>
        <w:t>s</w:t>
      </w:r>
      <w:r w:rsidRPr="000E5A31">
        <w:rPr>
          <w:rFonts w:cs="Arial"/>
          <w:szCs w:val="22"/>
        </w:rPr>
        <w:t>intensiver Segmente des Markts für RE/EE durchgeführt (Kombination z.B. aus Marktanal</w:t>
      </w:r>
      <w:r w:rsidRPr="000E5A31">
        <w:rPr>
          <w:rFonts w:cs="Arial"/>
          <w:szCs w:val="22"/>
        </w:rPr>
        <w:t>y</w:t>
      </w:r>
      <w:r w:rsidRPr="000E5A31">
        <w:rPr>
          <w:rFonts w:cs="Arial"/>
          <w:szCs w:val="22"/>
        </w:rPr>
        <w:t>sen, Sensibilisierung von potenziellen Investoren, Förderprogramme</w:t>
      </w:r>
      <w:r w:rsidR="00C03506">
        <w:rPr>
          <w:rFonts w:cs="Arial"/>
          <w:szCs w:val="22"/>
        </w:rPr>
        <w:t>n</w:t>
      </w:r>
      <w:r w:rsidRPr="000E5A31">
        <w:rPr>
          <w:rFonts w:cs="Arial"/>
          <w:szCs w:val="22"/>
        </w:rPr>
        <w:t>, rechtliche</w:t>
      </w:r>
      <w:r w:rsidR="00C03506">
        <w:rPr>
          <w:rFonts w:cs="Arial"/>
          <w:szCs w:val="22"/>
        </w:rPr>
        <w:t>n</w:t>
      </w:r>
      <w:r w:rsidRPr="000E5A31">
        <w:rPr>
          <w:rFonts w:cs="Arial"/>
          <w:szCs w:val="22"/>
        </w:rPr>
        <w:t xml:space="preserve"> Rahme</w:t>
      </w:r>
      <w:r w:rsidRPr="000E5A31">
        <w:rPr>
          <w:rFonts w:cs="Arial"/>
          <w:szCs w:val="22"/>
        </w:rPr>
        <w:t>n</w:t>
      </w:r>
      <w:r w:rsidRPr="000E5A31">
        <w:rPr>
          <w:rFonts w:cs="Arial"/>
          <w:szCs w:val="22"/>
        </w:rPr>
        <w:t>bedingungen).</w:t>
      </w:r>
    </w:p>
    <w:p w:rsidR="007F49F8" w:rsidRPr="000E5A31" w:rsidRDefault="00E1777B" w:rsidP="00E1777B">
      <w:pPr>
        <w:spacing w:after="120"/>
        <w:rPr>
          <w:rFonts w:eastAsia="Calibri"/>
        </w:rPr>
      </w:pPr>
      <w:r w:rsidRPr="000E5A31">
        <w:rPr>
          <w:rFonts w:eastAsia="Calibri" w:cs="Arial"/>
          <w:szCs w:val="22"/>
          <w:lang w:eastAsia="en-US"/>
        </w:rPr>
        <w:t xml:space="preserve">Zur Erfüllung dieses Indikators setzt das Vorhaben in </w:t>
      </w:r>
      <w:r w:rsidR="00C85B6B" w:rsidRPr="000E5A31">
        <w:rPr>
          <w:rFonts w:eastAsia="Calibri" w:cs="Arial"/>
          <w:szCs w:val="22"/>
          <w:lang w:eastAsia="en-US"/>
        </w:rPr>
        <w:t>Marokko und Tunesien</w:t>
      </w:r>
      <w:r w:rsidRPr="000E5A31">
        <w:rPr>
          <w:rFonts w:eastAsia="Calibri" w:cs="Arial"/>
          <w:szCs w:val="22"/>
          <w:lang w:eastAsia="en-US"/>
        </w:rPr>
        <w:t xml:space="preserve"> aktuell </w:t>
      </w:r>
      <w:r w:rsidR="007F49F8" w:rsidRPr="000E5A31">
        <w:rPr>
          <w:rFonts w:cs="Arial"/>
          <w:szCs w:val="22"/>
        </w:rPr>
        <w:t>Ma</w:t>
      </w:r>
      <w:r w:rsidR="007F49F8" w:rsidRPr="000E5A31">
        <w:rPr>
          <w:rFonts w:cs="Arial"/>
          <w:szCs w:val="22"/>
        </w:rPr>
        <w:t>ß</w:t>
      </w:r>
      <w:r w:rsidR="007F49F8" w:rsidRPr="000E5A31">
        <w:rPr>
          <w:rFonts w:cs="Arial"/>
          <w:szCs w:val="22"/>
        </w:rPr>
        <w:t>nahmen zur Bekanntmachung und Förderung spezifischer, beschäftigungsintensiver Markt- und Technologiesegmente für RE/EE Anwendungen</w:t>
      </w:r>
      <w:r w:rsidRPr="000E5A31">
        <w:rPr>
          <w:rFonts w:cs="Arial"/>
          <w:szCs w:val="22"/>
        </w:rPr>
        <w:t xml:space="preserve"> um bzw. bereitet diese vor.</w:t>
      </w:r>
    </w:p>
    <w:p w:rsidR="007F49F8" w:rsidRPr="000E5A31" w:rsidRDefault="00E1777B" w:rsidP="007F49F8">
      <w:pPr>
        <w:spacing w:after="120"/>
        <w:rPr>
          <w:rFonts w:eastAsia="Calibri" w:cs="Arial"/>
          <w:szCs w:val="22"/>
          <w:lang w:eastAsia="en-US"/>
        </w:rPr>
      </w:pPr>
      <w:r w:rsidRPr="000E5A31">
        <w:rPr>
          <w:rFonts w:eastAsia="Calibri" w:cs="Arial"/>
          <w:szCs w:val="22"/>
          <w:lang w:eastAsia="en-US"/>
        </w:rPr>
        <w:t>In einer</w:t>
      </w:r>
      <w:r w:rsidR="007F49F8" w:rsidRPr="000E5A31">
        <w:rPr>
          <w:rFonts w:eastAsia="Calibri" w:cs="Arial"/>
          <w:szCs w:val="22"/>
          <w:lang w:eastAsia="en-US"/>
        </w:rPr>
        <w:t xml:space="preserve"> Pilotmaßnahme </w:t>
      </w:r>
      <w:r w:rsidRPr="000E5A31">
        <w:rPr>
          <w:rFonts w:eastAsia="Calibri" w:cs="Arial"/>
          <w:szCs w:val="22"/>
          <w:lang w:eastAsia="en-US"/>
        </w:rPr>
        <w:t xml:space="preserve">zur </w:t>
      </w:r>
      <w:r w:rsidR="00C85B6B" w:rsidRPr="000E5A31">
        <w:rPr>
          <w:rFonts w:eastAsia="Calibri" w:cs="Arial"/>
          <w:szCs w:val="22"/>
          <w:lang w:eastAsia="en-US"/>
        </w:rPr>
        <w:t xml:space="preserve">Förderung von EE in der Lederindustrie </w:t>
      </w:r>
      <w:r w:rsidR="00AB13CB" w:rsidRPr="000E5A31">
        <w:rPr>
          <w:rFonts w:eastAsia="Calibri" w:cs="Arial"/>
          <w:szCs w:val="22"/>
          <w:lang w:eastAsia="en-US"/>
        </w:rPr>
        <w:t xml:space="preserve">in </w:t>
      </w:r>
      <w:r w:rsidR="00C85B6B" w:rsidRPr="000E5A31">
        <w:rPr>
          <w:rFonts w:eastAsia="Calibri" w:cs="Arial"/>
          <w:szCs w:val="22"/>
          <w:lang w:eastAsia="en-US"/>
        </w:rPr>
        <w:t>der Region Fe</w:t>
      </w:r>
      <w:r w:rsidR="00080677" w:rsidRPr="000E5A31">
        <w:rPr>
          <w:rFonts w:eastAsia="Calibri" w:cs="Arial"/>
          <w:szCs w:val="22"/>
          <w:lang w:eastAsia="en-US"/>
        </w:rPr>
        <w:t>s</w:t>
      </w:r>
      <w:r w:rsidRPr="000E5A31">
        <w:rPr>
          <w:rFonts w:eastAsia="Calibri" w:cs="Arial"/>
          <w:szCs w:val="22"/>
          <w:lang w:eastAsia="en-US"/>
        </w:rPr>
        <w:t xml:space="preserve"> wu</w:t>
      </w:r>
      <w:r w:rsidRPr="000E5A31">
        <w:rPr>
          <w:rFonts w:eastAsia="Calibri" w:cs="Arial"/>
          <w:szCs w:val="22"/>
          <w:lang w:eastAsia="en-US"/>
        </w:rPr>
        <w:t>r</w:t>
      </w:r>
      <w:r w:rsidRPr="000E5A31">
        <w:rPr>
          <w:rFonts w:eastAsia="Calibri" w:cs="Arial"/>
          <w:szCs w:val="22"/>
          <w:lang w:eastAsia="en-US"/>
        </w:rPr>
        <w:t>de</w:t>
      </w:r>
      <w:r w:rsidR="00AB13CB" w:rsidRPr="000E5A31">
        <w:rPr>
          <w:rFonts w:eastAsia="Calibri" w:cs="Arial"/>
          <w:szCs w:val="22"/>
          <w:lang w:eastAsia="en-US"/>
        </w:rPr>
        <w:t>n</w:t>
      </w:r>
      <w:r w:rsidRPr="000E5A31">
        <w:rPr>
          <w:rFonts w:eastAsia="Calibri" w:cs="Arial"/>
          <w:szCs w:val="22"/>
          <w:lang w:eastAsia="en-US"/>
        </w:rPr>
        <w:t xml:space="preserve"> am</w:t>
      </w:r>
      <w:r w:rsidR="007F49F8" w:rsidRPr="000E5A31">
        <w:rPr>
          <w:color w:val="000000"/>
          <w:lang w:eastAsia="fr-FR"/>
        </w:rPr>
        <w:t xml:space="preserve"> 15.04.2015</w:t>
      </w:r>
      <w:r w:rsidRPr="000E5A31">
        <w:rPr>
          <w:color w:val="000000"/>
          <w:lang w:eastAsia="fr-FR"/>
        </w:rPr>
        <w:t xml:space="preserve"> im Rahmen einer Journée de Sensibilisation Optionen und </w:t>
      </w:r>
      <w:r w:rsidR="00714B11" w:rsidRPr="000E5A31">
        <w:rPr>
          <w:color w:val="000000"/>
          <w:lang w:eastAsia="fr-FR"/>
        </w:rPr>
        <w:t>Potentiale</w:t>
      </w:r>
      <w:r w:rsidRPr="000E5A31">
        <w:rPr>
          <w:color w:val="000000"/>
          <w:lang w:eastAsia="fr-FR"/>
        </w:rPr>
        <w:t xml:space="preserve"> zur Verbesserung der Energiebilanz und damit der Wettbewerbsfähigkeit des Sektor</w:t>
      </w:r>
      <w:r w:rsidR="00AB13CB" w:rsidRPr="000E5A31">
        <w:rPr>
          <w:color w:val="000000"/>
          <w:lang w:eastAsia="fr-FR"/>
        </w:rPr>
        <w:t>s</w:t>
      </w:r>
      <w:r w:rsidRPr="000E5A31">
        <w:rPr>
          <w:color w:val="000000"/>
          <w:lang w:eastAsia="fr-FR"/>
        </w:rPr>
        <w:t xml:space="preserve"> vorgestellt. Folgen wird </w:t>
      </w:r>
      <w:r w:rsidR="007F49F8" w:rsidRPr="000E5A31">
        <w:rPr>
          <w:color w:val="000000"/>
          <w:lang w:eastAsia="fr-FR"/>
        </w:rPr>
        <w:t xml:space="preserve">eine erste Sektoranalyse, ein Energieaudit </w:t>
      </w:r>
      <w:r w:rsidRPr="000E5A31">
        <w:rPr>
          <w:color w:val="000000"/>
          <w:lang w:eastAsia="fr-FR"/>
        </w:rPr>
        <w:t>von</w:t>
      </w:r>
      <w:r w:rsidR="007F49F8" w:rsidRPr="000E5A31">
        <w:rPr>
          <w:color w:val="000000"/>
          <w:lang w:eastAsia="fr-FR"/>
        </w:rPr>
        <w:t xml:space="preserve"> 10 ausgewählten Lokalunte</w:t>
      </w:r>
      <w:r w:rsidR="007F49F8" w:rsidRPr="000E5A31">
        <w:rPr>
          <w:color w:val="000000"/>
          <w:lang w:eastAsia="fr-FR"/>
        </w:rPr>
        <w:t>r</w:t>
      </w:r>
      <w:r w:rsidR="007F49F8" w:rsidRPr="000E5A31">
        <w:rPr>
          <w:color w:val="000000"/>
          <w:lang w:eastAsia="fr-FR"/>
        </w:rPr>
        <w:t xml:space="preserve">nehmen, sowie </w:t>
      </w:r>
      <w:r w:rsidRPr="000E5A31">
        <w:rPr>
          <w:color w:val="000000"/>
          <w:lang w:eastAsia="fr-FR"/>
        </w:rPr>
        <w:t xml:space="preserve">die Durchführung </w:t>
      </w:r>
      <w:r w:rsidR="007F49F8" w:rsidRPr="000E5A31">
        <w:rPr>
          <w:color w:val="000000"/>
          <w:lang w:eastAsia="fr-FR"/>
        </w:rPr>
        <w:t>von Fortbildungen</w:t>
      </w:r>
      <w:r w:rsidRPr="000E5A31">
        <w:rPr>
          <w:color w:val="000000"/>
          <w:lang w:eastAsia="fr-FR"/>
        </w:rPr>
        <w:t xml:space="preserve"> für Manager und Techniker. Nach der Auswertung werden die Ergebnisse über </w:t>
      </w:r>
      <w:r w:rsidR="007F49F8" w:rsidRPr="000E5A31">
        <w:rPr>
          <w:color w:val="000000"/>
          <w:lang w:eastAsia="fr-FR"/>
        </w:rPr>
        <w:t>d</w:t>
      </w:r>
      <w:r w:rsidRPr="000E5A31">
        <w:rPr>
          <w:color w:val="000000"/>
          <w:lang w:eastAsia="fr-FR"/>
        </w:rPr>
        <w:t>en</w:t>
      </w:r>
      <w:r w:rsidR="007F49F8" w:rsidRPr="000E5A31">
        <w:rPr>
          <w:color w:val="000000"/>
          <w:lang w:eastAsia="fr-FR"/>
        </w:rPr>
        <w:t xml:space="preserve"> Sektorverband </w:t>
      </w:r>
      <w:r w:rsidRPr="000E5A31">
        <w:rPr>
          <w:color w:val="000000"/>
          <w:lang w:eastAsia="fr-FR"/>
        </w:rPr>
        <w:t>FEDIC auf nationaler Ebene promotet und ggf. in anderen Landesteilen repliziert</w:t>
      </w:r>
      <w:r w:rsidR="007F49F8" w:rsidRPr="000E5A31">
        <w:rPr>
          <w:rFonts w:eastAsia="Calibri" w:cs="Arial"/>
          <w:szCs w:val="22"/>
          <w:lang w:eastAsia="en-US"/>
        </w:rPr>
        <w:t>.</w:t>
      </w:r>
      <w:r w:rsidRPr="000E5A31">
        <w:rPr>
          <w:rFonts w:eastAsia="Calibri" w:cs="Arial"/>
          <w:szCs w:val="22"/>
          <w:lang w:eastAsia="en-US"/>
        </w:rPr>
        <w:t xml:space="preserve"> Geplant ist auch </w:t>
      </w:r>
      <w:r w:rsidR="00AB13CB" w:rsidRPr="000E5A31">
        <w:rPr>
          <w:rFonts w:eastAsia="Calibri" w:cs="Arial"/>
          <w:szCs w:val="22"/>
          <w:lang w:eastAsia="en-US"/>
        </w:rPr>
        <w:t xml:space="preserve">eine </w:t>
      </w:r>
      <w:r w:rsidR="00080677" w:rsidRPr="000E5A31">
        <w:rPr>
          <w:rFonts w:eastAsia="Calibri" w:cs="Arial"/>
          <w:szCs w:val="22"/>
          <w:lang w:eastAsia="en-US"/>
        </w:rPr>
        <w:t xml:space="preserve">Wiederholung </w:t>
      </w:r>
      <w:r w:rsidRPr="000E5A31">
        <w:rPr>
          <w:rFonts w:eastAsia="Calibri" w:cs="Arial"/>
          <w:szCs w:val="22"/>
          <w:lang w:eastAsia="en-US"/>
        </w:rPr>
        <w:t>der Maßnahme mit der Textilindustrie der Region. Neben der Sicherung und Schaffung von A</w:t>
      </w:r>
      <w:r w:rsidRPr="000E5A31">
        <w:rPr>
          <w:rFonts w:eastAsia="Calibri" w:cs="Arial"/>
          <w:szCs w:val="22"/>
          <w:lang w:eastAsia="en-US"/>
        </w:rPr>
        <w:t>r</w:t>
      </w:r>
      <w:r w:rsidRPr="000E5A31">
        <w:rPr>
          <w:rFonts w:eastAsia="Calibri" w:cs="Arial"/>
          <w:szCs w:val="22"/>
          <w:lang w:eastAsia="en-US"/>
        </w:rPr>
        <w:lastRenderedPageBreak/>
        <w:t xml:space="preserve">beitsplätzen in den ausgewählten Industriesektoren und </w:t>
      </w:r>
      <w:r w:rsidR="00080677" w:rsidRPr="000E5A31">
        <w:rPr>
          <w:rFonts w:eastAsia="Calibri" w:cs="Arial"/>
          <w:szCs w:val="22"/>
          <w:lang w:eastAsia="en-US"/>
        </w:rPr>
        <w:t>-</w:t>
      </w:r>
      <w:r w:rsidRPr="000E5A31">
        <w:rPr>
          <w:rFonts w:eastAsia="Calibri" w:cs="Arial"/>
          <w:szCs w:val="22"/>
          <w:lang w:eastAsia="en-US"/>
        </w:rPr>
        <w:t xml:space="preserve">unternehmen der Zielregion </w:t>
      </w:r>
      <w:r w:rsidR="00A96E7B" w:rsidRPr="000E5A31">
        <w:rPr>
          <w:rFonts w:eastAsia="Calibri" w:cs="Arial"/>
          <w:szCs w:val="22"/>
          <w:lang w:eastAsia="en-US"/>
        </w:rPr>
        <w:t xml:space="preserve">geht es auch darum, das Marktpotential für spezialisierte </w:t>
      </w:r>
      <w:r w:rsidR="00714B11" w:rsidRPr="000E5A31">
        <w:rPr>
          <w:rFonts w:eastAsia="Calibri" w:cs="Arial"/>
          <w:szCs w:val="22"/>
          <w:lang w:eastAsia="en-US"/>
        </w:rPr>
        <w:t>Dienstleister</w:t>
      </w:r>
      <w:r w:rsidR="00A96E7B" w:rsidRPr="000E5A31">
        <w:rPr>
          <w:rFonts w:eastAsia="Calibri" w:cs="Arial"/>
          <w:szCs w:val="22"/>
          <w:lang w:eastAsia="en-US"/>
        </w:rPr>
        <w:t xml:space="preserve"> („bureaux d’études“) für EE in der marokkanischen Industrie zu testen und zugleich Anforderungen und Ansätze für eine Verbesserung </w:t>
      </w:r>
      <w:r w:rsidR="00AB13CB" w:rsidRPr="000E5A31">
        <w:rPr>
          <w:rFonts w:eastAsia="Calibri" w:cs="Arial"/>
          <w:szCs w:val="22"/>
          <w:lang w:eastAsia="en-US"/>
        </w:rPr>
        <w:t xml:space="preserve">und Verstetigung </w:t>
      </w:r>
      <w:r w:rsidR="00A96E7B" w:rsidRPr="000E5A31">
        <w:rPr>
          <w:rFonts w:eastAsia="Calibri" w:cs="Arial"/>
          <w:szCs w:val="22"/>
          <w:lang w:eastAsia="en-US"/>
        </w:rPr>
        <w:t xml:space="preserve">der Qualität </w:t>
      </w:r>
      <w:r w:rsidR="00AB13CB" w:rsidRPr="000E5A31">
        <w:rPr>
          <w:rFonts w:eastAsia="Calibri" w:cs="Arial"/>
          <w:szCs w:val="22"/>
          <w:lang w:eastAsia="en-US"/>
        </w:rPr>
        <w:t xml:space="preserve">mit Hilfe </w:t>
      </w:r>
      <w:r w:rsidR="00A96E7B" w:rsidRPr="000E5A31">
        <w:rPr>
          <w:rFonts w:eastAsia="Calibri" w:cs="Arial"/>
          <w:szCs w:val="22"/>
          <w:lang w:eastAsia="en-US"/>
        </w:rPr>
        <w:t>der EZ zu untersuchen.</w:t>
      </w:r>
    </w:p>
    <w:p w:rsidR="007F49F8" w:rsidRPr="000E5A31" w:rsidRDefault="00A96E7B" w:rsidP="007F49F8">
      <w:pPr>
        <w:spacing w:after="120"/>
        <w:rPr>
          <w:rFonts w:eastAsia="Calibri" w:cs="Arial"/>
          <w:szCs w:val="22"/>
          <w:lang w:eastAsia="en-US"/>
        </w:rPr>
      </w:pPr>
      <w:r w:rsidRPr="000E5A31">
        <w:rPr>
          <w:rFonts w:eastAsia="Calibri" w:cs="Arial"/>
          <w:szCs w:val="22"/>
          <w:lang w:eastAsia="en-US"/>
        </w:rPr>
        <w:t xml:space="preserve">In einer weiteren Maßnahme zur </w:t>
      </w:r>
      <w:r w:rsidR="00C85B6B" w:rsidRPr="000E5A31">
        <w:rPr>
          <w:rFonts w:eastAsia="Calibri" w:cs="Arial"/>
          <w:szCs w:val="22"/>
          <w:lang w:eastAsia="en-US"/>
        </w:rPr>
        <w:t>Förderung von RE/EE in der marokkanischen Bauwirtschaft</w:t>
      </w:r>
      <w:r w:rsidRPr="000E5A31">
        <w:rPr>
          <w:rFonts w:eastAsia="Calibri" w:cs="Arial"/>
          <w:szCs w:val="22"/>
          <w:lang w:eastAsia="en-US"/>
        </w:rPr>
        <w:t xml:space="preserve"> wird</w:t>
      </w:r>
      <w:r w:rsidR="007F49F8" w:rsidRPr="000E5A31">
        <w:rPr>
          <w:rFonts w:eastAsia="Calibri" w:cs="Arial"/>
          <w:szCs w:val="22"/>
          <w:lang w:eastAsia="en-US"/>
        </w:rPr>
        <w:t xml:space="preserve"> </w:t>
      </w:r>
      <w:r w:rsidRPr="000E5A31">
        <w:rPr>
          <w:rFonts w:eastAsia="Calibri" w:cs="Arial"/>
          <w:szCs w:val="22"/>
          <w:lang w:eastAsia="en-US"/>
        </w:rPr>
        <w:t>das Pilotprojekt einer „Solar Smart City“, das von einer</w:t>
      </w:r>
      <w:r w:rsidR="007F49F8" w:rsidRPr="000E5A31">
        <w:rPr>
          <w:rFonts w:eastAsia="Calibri" w:cs="Arial"/>
          <w:szCs w:val="22"/>
          <w:lang w:eastAsia="en-US"/>
        </w:rPr>
        <w:t xml:space="preserve"> deutsch-marokkanischen Arch</w:t>
      </w:r>
      <w:r w:rsidR="007F49F8" w:rsidRPr="000E5A31">
        <w:rPr>
          <w:rFonts w:eastAsia="Calibri" w:cs="Arial"/>
          <w:szCs w:val="22"/>
          <w:lang w:eastAsia="en-US"/>
        </w:rPr>
        <w:t>i</w:t>
      </w:r>
      <w:r w:rsidR="007F49F8" w:rsidRPr="000E5A31">
        <w:rPr>
          <w:rFonts w:eastAsia="Calibri" w:cs="Arial"/>
          <w:szCs w:val="22"/>
          <w:lang w:eastAsia="en-US"/>
        </w:rPr>
        <w:t xml:space="preserve">tekten- und Stadtplanergruppe </w:t>
      </w:r>
      <w:r w:rsidRPr="000E5A31">
        <w:rPr>
          <w:rFonts w:eastAsia="Calibri" w:cs="Arial"/>
          <w:szCs w:val="22"/>
          <w:lang w:eastAsia="en-US"/>
        </w:rPr>
        <w:t xml:space="preserve">gemeinsam </w:t>
      </w:r>
      <w:r w:rsidR="00714B11" w:rsidRPr="000E5A31">
        <w:rPr>
          <w:rFonts w:eastAsia="Calibri" w:cs="Arial"/>
          <w:szCs w:val="22"/>
          <w:lang w:eastAsia="en-US"/>
        </w:rPr>
        <w:t>entwickelt</w:t>
      </w:r>
      <w:r w:rsidRPr="000E5A31">
        <w:rPr>
          <w:rFonts w:eastAsia="Calibri" w:cs="Arial"/>
          <w:szCs w:val="22"/>
          <w:lang w:eastAsia="en-US"/>
        </w:rPr>
        <w:t xml:space="preserve"> wurde </w:t>
      </w:r>
      <w:r w:rsidR="007F49F8" w:rsidRPr="000E5A31">
        <w:rPr>
          <w:rFonts w:eastAsia="Calibri" w:cs="Arial"/>
          <w:szCs w:val="22"/>
          <w:lang w:eastAsia="en-US"/>
        </w:rPr>
        <w:t>(Koordinator: Forschungszen</w:t>
      </w:r>
      <w:r w:rsidR="007F49F8" w:rsidRPr="000E5A31">
        <w:rPr>
          <w:rFonts w:eastAsia="Calibri" w:cs="Arial"/>
          <w:szCs w:val="22"/>
          <w:lang w:eastAsia="en-US"/>
        </w:rPr>
        <w:t>t</w:t>
      </w:r>
      <w:r w:rsidR="007F49F8" w:rsidRPr="000E5A31">
        <w:rPr>
          <w:rFonts w:eastAsia="Calibri" w:cs="Arial"/>
          <w:szCs w:val="22"/>
          <w:lang w:eastAsia="en-US"/>
        </w:rPr>
        <w:t>rum Green TIC, Universität Hassan II Casablanca)</w:t>
      </w:r>
      <w:r w:rsidRPr="000E5A31">
        <w:rPr>
          <w:rFonts w:eastAsia="Calibri" w:cs="Arial"/>
          <w:szCs w:val="22"/>
          <w:lang w:eastAsia="en-US"/>
        </w:rPr>
        <w:t>, politisch und konzeptionell begleitet und unterstützt. Ziel des Projekt</w:t>
      </w:r>
      <w:r w:rsidR="00080677" w:rsidRPr="000E5A31">
        <w:rPr>
          <w:rFonts w:eastAsia="Calibri" w:cs="Arial"/>
          <w:szCs w:val="22"/>
          <w:lang w:eastAsia="en-US"/>
        </w:rPr>
        <w:t>s</w:t>
      </w:r>
      <w:r w:rsidRPr="000E5A31">
        <w:rPr>
          <w:rFonts w:eastAsia="Calibri" w:cs="Arial"/>
          <w:szCs w:val="22"/>
          <w:lang w:eastAsia="en-US"/>
        </w:rPr>
        <w:t xml:space="preserve"> ist, in Kooperation </w:t>
      </w:r>
      <w:r w:rsidR="007F49F8" w:rsidRPr="000E5A31">
        <w:rPr>
          <w:rFonts w:eastAsia="Calibri" w:cs="Arial"/>
          <w:szCs w:val="22"/>
          <w:lang w:eastAsia="en-US"/>
        </w:rPr>
        <w:t>mit der staatlichen Wohnungsbaugesel</w:t>
      </w:r>
      <w:r w:rsidR="007F49F8" w:rsidRPr="000E5A31">
        <w:rPr>
          <w:rFonts w:eastAsia="Calibri" w:cs="Arial"/>
          <w:szCs w:val="22"/>
          <w:lang w:eastAsia="en-US"/>
        </w:rPr>
        <w:t>l</w:t>
      </w:r>
      <w:r w:rsidR="007F49F8" w:rsidRPr="000E5A31">
        <w:rPr>
          <w:rFonts w:eastAsia="Calibri" w:cs="Arial"/>
          <w:szCs w:val="22"/>
          <w:lang w:eastAsia="en-US"/>
        </w:rPr>
        <w:t>schaft Al Omrane Möglichkeiten zur Einführung energiesparender Maßnahmen und</w:t>
      </w:r>
      <w:r w:rsidRPr="000E5A31">
        <w:rPr>
          <w:rFonts w:eastAsia="Calibri" w:cs="Arial"/>
          <w:szCs w:val="22"/>
          <w:lang w:eastAsia="en-US"/>
        </w:rPr>
        <w:t xml:space="preserve"> verteilter </w:t>
      </w:r>
      <w:r w:rsidR="00230A4C" w:rsidRPr="000E5A31">
        <w:rPr>
          <w:rFonts w:eastAsia="Calibri" w:cs="Arial"/>
          <w:szCs w:val="22"/>
          <w:lang w:eastAsia="en-US"/>
        </w:rPr>
        <w:t xml:space="preserve">Anwendungen </w:t>
      </w:r>
      <w:r w:rsidR="007F49F8" w:rsidRPr="000E5A31">
        <w:rPr>
          <w:rFonts w:eastAsia="Calibri" w:cs="Arial"/>
          <w:szCs w:val="22"/>
          <w:lang w:eastAsia="en-US"/>
        </w:rPr>
        <w:t xml:space="preserve">im Rahmen des sozialen </w:t>
      </w:r>
      <w:r w:rsidR="00714B11" w:rsidRPr="000E5A31">
        <w:rPr>
          <w:rFonts w:eastAsia="Calibri" w:cs="Arial"/>
          <w:szCs w:val="22"/>
          <w:lang w:eastAsia="en-US"/>
        </w:rPr>
        <w:t>Wohnungsbaus</w:t>
      </w:r>
      <w:r w:rsidR="007F49F8" w:rsidRPr="000E5A31">
        <w:rPr>
          <w:rFonts w:eastAsia="Calibri" w:cs="Arial"/>
          <w:szCs w:val="22"/>
          <w:lang w:eastAsia="en-US"/>
        </w:rPr>
        <w:t xml:space="preserve"> bzw. des „Villes Nouvelles“</w:t>
      </w:r>
      <w:r w:rsidR="00080677" w:rsidRPr="000E5A31">
        <w:rPr>
          <w:rFonts w:eastAsia="Calibri" w:cs="Arial"/>
          <w:szCs w:val="22"/>
          <w:lang w:eastAsia="en-US"/>
        </w:rPr>
        <w:t>-</w:t>
      </w:r>
      <w:r w:rsidR="007F49F8" w:rsidRPr="000E5A31">
        <w:rPr>
          <w:rFonts w:eastAsia="Calibri" w:cs="Arial"/>
          <w:szCs w:val="22"/>
          <w:lang w:eastAsia="en-US"/>
        </w:rPr>
        <w:t>Prozesses</w:t>
      </w:r>
      <w:r w:rsidR="00230A4C" w:rsidRPr="000E5A31">
        <w:rPr>
          <w:rFonts w:eastAsia="Calibri" w:cs="Arial"/>
          <w:szCs w:val="22"/>
          <w:lang w:eastAsia="en-US"/>
        </w:rPr>
        <w:t xml:space="preserve"> zu untersuchen und umzusetzen</w:t>
      </w:r>
      <w:r w:rsidR="007F49F8" w:rsidRPr="000E5A31">
        <w:rPr>
          <w:rFonts w:eastAsia="Calibri" w:cs="Arial"/>
          <w:szCs w:val="22"/>
          <w:lang w:eastAsia="en-US"/>
        </w:rPr>
        <w:t>.</w:t>
      </w:r>
      <w:r w:rsidRPr="000E5A31">
        <w:rPr>
          <w:rFonts w:eastAsia="Calibri" w:cs="Arial"/>
          <w:szCs w:val="22"/>
          <w:lang w:eastAsia="en-US"/>
        </w:rPr>
        <w:t xml:space="preserve"> </w:t>
      </w:r>
      <w:r w:rsidR="00230A4C" w:rsidRPr="000E5A31">
        <w:rPr>
          <w:rFonts w:eastAsia="Calibri" w:cs="Arial"/>
          <w:szCs w:val="22"/>
          <w:lang w:eastAsia="en-US"/>
        </w:rPr>
        <w:t xml:space="preserve">Das Konzept wurde am 16.06.2015 </w:t>
      </w:r>
      <w:r w:rsidRPr="000E5A31">
        <w:rPr>
          <w:rFonts w:eastAsia="Calibri" w:cs="Arial"/>
          <w:szCs w:val="22"/>
          <w:lang w:eastAsia="en-US"/>
        </w:rPr>
        <w:t xml:space="preserve">im Rahmen eines </w:t>
      </w:r>
      <w:r w:rsidR="00230A4C" w:rsidRPr="000E5A31">
        <w:rPr>
          <w:rFonts w:eastAsia="Calibri" w:cs="Arial"/>
          <w:szCs w:val="22"/>
          <w:lang w:eastAsia="en-US"/>
        </w:rPr>
        <w:t xml:space="preserve">internen </w:t>
      </w:r>
      <w:r w:rsidRPr="000E5A31">
        <w:rPr>
          <w:rFonts w:eastAsia="Calibri" w:cs="Arial"/>
          <w:szCs w:val="22"/>
          <w:lang w:eastAsia="en-US"/>
        </w:rPr>
        <w:t xml:space="preserve">Planungsworkshops in Casablanca </w:t>
      </w:r>
      <w:r w:rsidR="00230A4C" w:rsidRPr="000E5A31">
        <w:rPr>
          <w:rFonts w:eastAsia="Calibri" w:cs="Arial"/>
          <w:szCs w:val="22"/>
          <w:lang w:eastAsia="en-US"/>
        </w:rPr>
        <w:t>vorgestellt, die „offizielle“ Präsentation vor einem größeren Publikum wird bis Ende des Monats folgen.</w:t>
      </w:r>
    </w:p>
    <w:p w:rsidR="00230A4C" w:rsidRPr="000E5A31" w:rsidRDefault="00230A4C" w:rsidP="007F49F8">
      <w:pPr>
        <w:spacing w:after="120"/>
        <w:rPr>
          <w:rStyle w:val="Seitenzahl"/>
          <w:rFonts w:cs="Arial"/>
        </w:rPr>
      </w:pPr>
      <w:r w:rsidRPr="000E5A31">
        <w:rPr>
          <w:rFonts w:eastAsia="Calibri" w:cs="Arial"/>
          <w:szCs w:val="22"/>
          <w:lang w:eastAsia="en-US"/>
        </w:rPr>
        <w:t xml:space="preserve">In einer weiteren Maßnahme zur </w:t>
      </w:r>
      <w:r w:rsidR="00C85B6B" w:rsidRPr="000E5A31">
        <w:rPr>
          <w:rFonts w:eastAsia="Calibri" w:cs="Arial"/>
          <w:szCs w:val="22"/>
          <w:lang w:eastAsia="en-US"/>
        </w:rPr>
        <w:t>Förderung von RE/EE in der tunesischen Landwirtschaft</w:t>
      </w:r>
      <w:r w:rsidRPr="000E5A31">
        <w:rPr>
          <w:rFonts w:eastAsia="Calibri" w:cs="Arial"/>
          <w:szCs w:val="22"/>
          <w:lang w:eastAsia="en-US"/>
        </w:rPr>
        <w:t xml:space="preserve"> werden aktuell eine Reihe von Maßnahmen vorbereitet, die in enger Zusammenarbeit und Abstimmung mit der staatlichen Agrarinvestitionsagentur APIA und den GIZ</w:t>
      </w:r>
      <w:r w:rsidR="00080677" w:rsidRPr="000E5A31">
        <w:rPr>
          <w:rFonts w:eastAsia="Calibri" w:cs="Arial"/>
          <w:szCs w:val="22"/>
          <w:lang w:eastAsia="en-US"/>
        </w:rPr>
        <w:t>-</w:t>
      </w:r>
      <w:r w:rsidRPr="000E5A31">
        <w:rPr>
          <w:rFonts w:eastAsia="Calibri" w:cs="Arial"/>
          <w:szCs w:val="22"/>
          <w:lang w:eastAsia="en-US"/>
        </w:rPr>
        <w:t>Vorhaben Powering Agriculture (PA) und Développement du March</w:t>
      </w:r>
      <w:r w:rsidR="00080677" w:rsidRPr="000E5A31">
        <w:rPr>
          <w:rFonts w:eastAsia="Calibri" w:cs="Arial"/>
          <w:szCs w:val="22"/>
          <w:lang w:eastAsia="en-US"/>
        </w:rPr>
        <w:t>é</w:t>
      </w:r>
      <w:r w:rsidRPr="000E5A31">
        <w:rPr>
          <w:rFonts w:eastAsia="Calibri" w:cs="Arial"/>
          <w:szCs w:val="22"/>
          <w:lang w:eastAsia="en-US"/>
        </w:rPr>
        <w:t xml:space="preserve"> Solaire Tunisien (DMS) durchg</w:t>
      </w:r>
      <w:r w:rsidRPr="000E5A31">
        <w:rPr>
          <w:rFonts w:eastAsia="Calibri" w:cs="Arial"/>
          <w:szCs w:val="22"/>
          <w:lang w:eastAsia="en-US"/>
        </w:rPr>
        <w:t>e</w:t>
      </w:r>
      <w:r w:rsidRPr="000E5A31">
        <w:rPr>
          <w:rFonts w:eastAsia="Calibri" w:cs="Arial"/>
          <w:szCs w:val="22"/>
          <w:lang w:eastAsia="en-US"/>
        </w:rPr>
        <w:t>führt werden. Hierzu gehört eine Sektoranalyse des Beschäftigungspotentials und der Aus- und Fortbildungsanforderungen für RE/EE in der tunesischen Landwirtschaft, die Konzeption und Umsetzung von Trainingsprogrammen (inkl. Einrichtung und Betrieb von Testanlagen gemeinsam mit</w:t>
      </w:r>
      <w:r w:rsidR="00876E56" w:rsidRPr="000E5A31">
        <w:rPr>
          <w:rFonts w:eastAsia="Calibri" w:cs="Arial"/>
          <w:szCs w:val="22"/>
          <w:lang w:eastAsia="en-US"/>
        </w:rPr>
        <w:t xml:space="preserve"> der APIA) sowie die Unterstützung der </w:t>
      </w:r>
      <w:r w:rsidR="00876E56" w:rsidRPr="000E5A31">
        <w:rPr>
          <w:rStyle w:val="Seitenzahl"/>
          <w:rFonts w:cs="Arial"/>
        </w:rPr>
        <w:t>bereits sowohl auf nationaler als auch regionaler Ebene existierenden I</w:t>
      </w:r>
      <w:r w:rsidR="0032635D" w:rsidRPr="000E5A31">
        <w:rPr>
          <w:rStyle w:val="Seitenzahl"/>
          <w:rFonts w:cs="Arial"/>
        </w:rPr>
        <w:t>nnovationsplattformen</w:t>
      </w:r>
      <w:r w:rsidR="00876E56" w:rsidRPr="000E5A31">
        <w:rPr>
          <w:rStyle w:val="Seitenzahl"/>
          <w:rFonts w:cs="Arial"/>
        </w:rPr>
        <w:t>.</w:t>
      </w:r>
    </w:p>
    <w:p w:rsidR="00876E56" w:rsidRPr="000E5A31" w:rsidRDefault="00876E56" w:rsidP="007F49F8">
      <w:pPr>
        <w:spacing w:after="120"/>
        <w:rPr>
          <w:rStyle w:val="Seitenzahl"/>
          <w:rFonts w:cs="Arial"/>
        </w:rPr>
      </w:pPr>
      <w:r w:rsidRPr="000E5A31">
        <w:rPr>
          <w:rStyle w:val="Seitenzahl"/>
          <w:rFonts w:cs="Arial"/>
        </w:rPr>
        <w:t>Ein grundlegendes Problem bei der geplanten Entwicklung und Verti</w:t>
      </w:r>
      <w:r w:rsidR="00D26BE8" w:rsidRPr="000E5A31">
        <w:rPr>
          <w:rStyle w:val="Seitenzahl"/>
          <w:rFonts w:cs="Arial"/>
        </w:rPr>
        <w:t>e</w:t>
      </w:r>
      <w:r w:rsidRPr="000E5A31">
        <w:rPr>
          <w:rStyle w:val="Seitenzahl"/>
          <w:rFonts w:cs="Arial"/>
        </w:rPr>
        <w:t>fung von Wertschö</w:t>
      </w:r>
      <w:r w:rsidRPr="000E5A31">
        <w:rPr>
          <w:rStyle w:val="Seitenzahl"/>
          <w:rFonts w:cs="Arial"/>
        </w:rPr>
        <w:t>p</w:t>
      </w:r>
      <w:r w:rsidRPr="000E5A31">
        <w:rPr>
          <w:rStyle w:val="Seitenzahl"/>
          <w:rFonts w:cs="Arial"/>
        </w:rPr>
        <w:t>fungsketten auf RE/EE</w:t>
      </w:r>
      <w:r w:rsidR="00080677" w:rsidRPr="000E5A31">
        <w:rPr>
          <w:rStyle w:val="Seitenzahl"/>
          <w:rFonts w:cs="Arial"/>
        </w:rPr>
        <w:t>-</w:t>
      </w:r>
      <w:r w:rsidRPr="000E5A31">
        <w:rPr>
          <w:rStyle w:val="Seitenzahl"/>
          <w:rFonts w:cs="Arial"/>
        </w:rPr>
        <w:t>Basis ist die immer noch sehr geringe Anzahl spezialisierter Unte</w:t>
      </w:r>
      <w:r w:rsidRPr="000E5A31">
        <w:rPr>
          <w:rStyle w:val="Seitenzahl"/>
          <w:rFonts w:cs="Arial"/>
        </w:rPr>
        <w:t>r</w:t>
      </w:r>
      <w:r w:rsidRPr="000E5A31">
        <w:rPr>
          <w:rStyle w:val="Seitenzahl"/>
          <w:rFonts w:cs="Arial"/>
        </w:rPr>
        <w:t>nehmen, die zudem mit einer Fülle von Hindernissen und Herausforderungen konfrontiert ist. Hierzu gehören etwa das geringe Maß an horizontaler Vernetzung und vertikaler Integration</w:t>
      </w:r>
      <w:r w:rsidR="00B40A2B" w:rsidRPr="000E5A31">
        <w:rPr>
          <w:rStyle w:val="Seitenzahl"/>
          <w:rFonts w:cs="Arial"/>
        </w:rPr>
        <w:t>; die schwache Anbindung an Innovationsprozesse und Technologie- und Businesszentren auf internationaler Ebene; ihr oftmals schwaches „Standing“ gege</w:t>
      </w:r>
      <w:r w:rsidRPr="000E5A31">
        <w:rPr>
          <w:rStyle w:val="Seitenzahl"/>
          <w:rFonts w:cs="Arial"/>
        </w:rPr>
        <w:t>nüber staatlichen En</w:t>
      </w:r>
      <w:r w:rsidRPr="000E5A31">
        <w:rPr>
          <w:rStyle w:val="Seitenzahl"/>
          <w:rFonts w:cs="Arial"/>
        </w:rPr>
        <w:t>t</w:t>
      </w:r>
      <w:r w:rsidRPr="000E5A31">
        <w:rPr>
          <w:rStyle w:val="Seitenzahl"/>
          <w:rFonts w:cs="Arial"/>
        </w:rPr>
        <w:t>scheidungsträgern</w:t>
      </w:r>
      <w:r w:rsidR="00B40A2B" w:rsidRPr="000E5A31">
        <w:rPr>
          <w:rStyle w:val="Seitenzahl"/>
          <w:rFonts w:cs="Arial"/>
        </w:rPr>
        <w:t>, privaten Finanzinstitutionen und klassischen Wirtschaftsvertretern;</w:t>
      </w:r>
      <w:r w:rsidRPr="000E5A31">
        <w:rPr>
          <w:rStyle w:val="Seitenzahl"/>
          <w:rFonts w:cs="Arial"/>
        </w:rPr>
        <w:t xml:space="preserve"> </w:t>
      </w:r>
      <w:r w:rsidR="00B40A2B" w:rsidRPr="000E5A31">
        <w:rPr>
          <w:rStyle w:val="Seitenzahl"/>
          <w:rFonts w:cs="Arial"/>
        </w:rPr>
        <w:t>das Fehlen spezialisierter und praktisch versierter Fach- und Führungskräfte für RE/EE u.v.m. In der Realität neigen die betroffenen Akteure immer noch stark dazu, über Institutionen- und Sek</w:t>
      </w:r>
      <w:r w:rsidR="000E5A31">
        <w:rPr>
          <w:rStyle w:val="Seitenzahl"/>
          <w:rFonts w:cs="Arial"/>
        </w:rPr>
        <w:t>t</w:t>
      </w:r>
      <w:r w:rsidR="00B40A2B" w:rsidRPr="000E5A31">
        <w:rPr>
          <w:rStyle w:val="Seitenzahl"/>
          <w:rFonts w:cs="Arial"/>
        </w:rPr>
        <w:t>orgrenzen hinweg wenig zu kommunizieren und noch weniger zu kooperieren.</w:t>
      </w:r>
    </w:p>
    <w:p w:rsidR="00B40A2B" w:rsidRPr="000E5A31" w:rsidRDefault="00B40A2B" w:rsidP="007F49F8">
      <w:pPr>
        <w:spacing w:after="120"/>
        <w:rPr>
          <w:rFonts w:eastAsia="Calibri" w:cs="Arial"/>
          <w:szCs w:val="22"/>
          <w:lang w:eastAsia="en-US"/>
        </w:rPr>
      </w:pPr>
      <w:r w:rsidRPr="000E5A31">
        <w:rPr>
          <w:rStyle w:val="Seitenzahl"/>
          <w:rFonts w:cs="Arial"/>
        </w:rPr>
        <w:t>Ein Ansatz, der helfen könnte, diese Zersplitterung und „Sprachlosigkeit“ zu überwinden, L</w:t>
      </w:r>
      <w:r w:rsidRPr="000E5A31">
        <w:rPr>
          <w:rStyle w:val="Seitenzahl"/>
          <w:rFonts w:cs="Arial"/>
        </w:rPr>
        <w:t>ü</w:t>
      </w:r>
      <w:r w:rsidRPr="000E5A31">
        <w:rPr>
          <w:rStyle w:val="Seitenzahl"/>
          <w:rFonts w:cs="Arial"/>
        </w:rPr>
        <w:t>cken zu schließen und Ressourcen zu poolen (</w:t>
      </w:r>
      <w:r w:rsidR="00EE085F" w:rsidRPr="000E5A31">
        <w:rPr>
          <w:rStyle w:val="Seitenzahl"/>
          <w:rFonts w:cs="Arial"/>
        </w:rPr>
        <w:t xml:space="preserve">gerade auch mit Blick </w:t>
      </w:r>
      <w:r w:rsidRPr="000E5A31">
        <w:rPr>
          <w:rStyle w:val="Seitenzahl"/>
          <w:rFonts w:cs="Arial"/>
        </w:rPr>
        <w:t xml:space="preserve">auf </w:t>
      </w:r>
      <w:r w:rsidR="00EE085F" w:rsidRPr="000E5A31">
        <w:rPr>
          <w:rStyle w:val="Seitenzahl"/>
          <w:rFonts w:cs="Arial"/>
        </w:rPr>
        <w:t xml:space="preserve">die </w:t>
      </w:r>
      <w:r w:rsidRPr="000E5A31">
        <w:rPr>
          <w:rStyle w:val="Seitenzahl"/>
          <w:rFonts w:cs="Arial"/>
        </w:rPr>
        <w:t>Aus- und For</w:t>
      </w:r>
      <w:r w:rsidRPr="000E5A31">
        <w:rPr>
          <w:rStyle w:val="Seitenzahl"/>
          <w:rFonts w:cs="Arial"/>
        </w:rPr>
        <w:t>t</w:t>
      </w:r>
      <w:r w:rsidRPr="000E5A31">
        <w:rPr>
          <w:rStyle w:val="Seitenzahl"/>
          <w:rFonts w:cs="Arial"/>
        </w:rPr>
        <w:t>bildung</w:t>
      </w:r>
      <w:r w:rsidR="00EE085F" w:rsidRPr="000E5A31">
        <w:rPr>
          <w:rStyle w:val="Seitenzahl"/>
          <w:rFonts w:cs="Arial"/>
        </w:rPr>
        <w:t xml:space="preserve">sthematik </w:t>
      </w:r>
      <w:r w:rsidRPr="000E5A31">
        <w:rPr>
          <w:rStyle w:val="Seitenzahl"/>
          <w:rFonts w:cs="Arial"/>
        </w:rPr>
        <w:t xml:space="preserve">sowie </w:t>
      </w:r>
      <w:r w:rsidR="00EE085F" w:rsidRPr="000E5A31">
        <w:rPr>
          <w:rStyle w:val="Seitenzahl"/>
          <w:rFonts w:cs="Arial"/>
        </w:rPr>
        <w:t xml:space="preserve">auf </w:t>
      </w:r>
      <w:r w:rsidRPr="000E5A31">
        <w:rPr>
          <w:rStyle w:val="Seitenzahl"/>
          <w:rFonts w:cs="Arial"/>
        </w:rPr>
        <w:t>F&amp;E</w:t>
      </w:r>
      <w:r w:rsidR="00EE085F" w:rsidRPr="000E5A31">
        <w:rPr>
          <w:rStyle w:val="Seitenzahl"/>
          <w:rFonts w:cs="Arial"/>
        </w:rPr>
        <w:t>-Kooperationen</w:t>
      </w:r>
      <w:r w:rsidRPr="000E5A31">
        <w:rPr>
          <w:rStyle w:val="Seitenzahl"/>
          <w:rFonts w:cs="Arial"/>
        </w:rPr>
        <w:t>)</w:t>
      </w:r>
      <w:r w:rsidR="00EE085F" w:rsidRPr="000E5A31">
        <w:rPr>
          <w:rStyle w:val="Seitenzahl"/>
          <w:rFonts w:cs="Arial"/>
        </w:rPr>
        <w:t xml:space="preserve"> sowie </w:t>
      </w:r>
      <w:r w:rsidRPr="000E5A31">
        <w:rPr>
          <w:rStyle w:val="Seitenzahl"/>
          <w:rFonts w:cs="Arial"/>
        </w:rPr>
        <w:t xml:space="preserve">die verschiedenen Akteure </w:t>
      </w:r>
      <w:r w:rsidR="00C03506">
        <w:rPr>
          <w:rStyle w:val="Seitenzahl"/>
          <w:rFonts w:cs="Arial"/>
        </w:rPr>
        <w:t>zusa</w:t>
      </w:r>
      <w:r w:rsidR="00C03506">
        <w:rPr>
          <w:rStyle w:val="Seitenzahl"/>
          <w:rFonts w:cs="Arial"/>
        </w:rPr>
        <w:t>m</w:t>
      </w:r>
      <w:r w:rsidR="00C03506">
        <w:rPr>
          <w:rStyle w:val="Seitenzahl"/>
          <w:rFonts w:cs="Arial"/>
        </w:rPr>
        <w:t>men</w:t>
      </w:r>
      <w:r w:rsidRPr="000E5A31">
        <w:rPr>
          <w:rStyle w:val="Seitenzahl"/>
          <w:rFonts w:cs="Arial"/>
        </w:rPr>
        <w:t>zu</w:t>
      </w:r>
      <w:r w:rsidR="00C03506">
        <w:rPr>
          <w:rStyle w:val="Seitenzahl"/>
          <w:rFonts w:cs="Arial"/>
        </w:rPr>
        <w:t>führ</w:t>
      </w:r>
      <w:r w:rsidRPr="000E5A31">
        <w:rPr>
          <w:rStyle w:val="Seitenzahl"/>
          <w:rFonts w:cs="Arial"/>
        </w:rPr>
        <w:t>en und auf eine gemeinsame Agenda zu verpflichten</w:t>
      </w:r>
      <w:r w:rsidR="00EE085F" w:rsidRPr="000E5A31">
        <w:rPr>
          <w:rStyle w:val="Seitenzahl"/>
          <w:rFonts w:cs="Arial"/>
        </w:rPr>
        <w:t>, ist die Entwicklung und Ve</w:t>
      </w:r>
      <w:r w:rsidR="00EE085F" w:rsidRPr="000E5A31">
        <w:rPr>
          <w:rStyle w:val="Seitenzahl"/>
          <w:rFonts w:cs="Arial"/>
        </w:rPr>
        <w:t>r</w:t>
      </w:r>
      <w:r w:rsidR="00EE085F" w:rsidRPr="000E5A31">
        <w:rPr>
          <w:rStyle w:val="Seitenzahl"/>
          <w:rFonts w:cs="Arial"/>
        </w:rPr>
        <w:t xml:space="preserve">tiefung von Clusterprozessen und -strukturen im Bereich RE/EE. Deutsche bzw. </w:t>
      </w:r>
      <w:r w:rsidR="00714B11" w:rsidRPr="000E5A31">
        <w:rPr>
          <w:rStyle w:val="Seitenzahl"/>
          <w:rFonts w:cs="Arial"/>
        </w:rPr>
        <w:t>europä</w:t>
      </w:r>
      <w:r w:rsidR="00714B11" w:rsidRPr="000E5A31">
        <w:rPr>
          <w:rStyle w:val="Seitenzahl"/>
          <w:rFonts w:cs="Arial"/>
        </w:rPr>
        <w:t>i</w:t>
      </w:r>
      <w:r w:rsidR="00714B11" w:rsidRPr="000E5A31">
        <w:rPr>
          <w:rStyle w:val="Seitenzahl"/>
          <w:rFonts w:cs="Arial"/>
        </w:rPr>
        <w:t>sche</w:t>
      </w:r>
      <w:r w:rsidR="00EE085F" w:rsidRPr="000E5A31">
        <w:rPr>
          <w:rStyle w:val="Seitenzahl"/>
          <w:rFonts w:cs="Arial"/>
        </w:rPr>
        <w:t xml:space="preserve"> Clustervertreter und </w:t>
      </w:r>
      <w:r w:rsidR="00080677" w:rsidRPr="000E5A31">
        <w:rPr>
          <w:rStyle w:val="Seitenzahl"/>
          <w:rFonts w:cs="Arial"/>
        </w:rPr>
        <w:t>-</w:t>
      </w:r>
      <w:r w:rsidR="00EE085F" w:rsidRPr="000E5A31">
        <w:rPr>
          <w:rStyle w:val="Seitenzahl"/>
          <w:rFonts w:cs="Arial"/>
        </w:rPr>
        <w:t>experten, welche in diesem Bereich wichtige Erfahrungen gesammelt und schlagkräftige Organisationen aufgebaut haben, könnten hier wertvolle Unterstützung leisten und zugleich im Rahmen dieser Hilfe länder- und regionenübergreifende B2B</w:t>
      </w:r>
      <w:r w:rsidR="00080677" w:rsidRPr="000E5A31">
        <w:rPr>
          <w:rStyle w:val="Seitenzahl"/>
          <w:rFonts w:cs="Arial"/>
        </w:rPr>
        <w:t>-</w:t>
      </w:r>
      <w:r w:rsidR="00EE085F" w:rsidRPr="000E5A31">
        <w:rPr>
          <w:rStyle w:val="Seitenzahl"/>
          <w:rFonts w:cs="Arial"/>
        </w:rPr>
        <w:t xml:space="preserve">Kooperationen und </w:t>
      </w:r>
      <w:r w:rsidR="00714B11" w:rsidRPr="000E5A31">
        <w:rPr>
          <w:rStyle w:val="Seitenzahl"/>
          <w:rFonts w:cs="Arial"/>
        </w:rPr>
        <w:t>Investitionen</w:t>
      </w:r>
      <w:r w:rsidR="00EE085F" w:rsidRPr="000E5A31">
        <w:rPr>
          <w:rStyle w:val="Seitenzahl"/>
          <w:rFonts w:cs="Arial"/>
        </w:rPr>
        <w:t xml:space="preserve"> im RE/EE Bereich anstoßen und strukturieren helfen.</w:t>
      </w:r>
    </w:p>
    <w:p w:rsidR="0086485D" w:rsidRPr="000E5A31" w:rsidRDefault="00EE085F" w:rsidP="00B45C39">
      <w:pPr>
        <w:spacing w:after="120"/>
        <w:rPr>
          <w:rFonts w:eastAsia="Calibri" w:cs="Arial"/>
          <w:szCs w:val="22"/>
          <w:lang w:eastAsia="en-US"/>
        </w:rPr>
      </w:pPr>
      <w:r w:rsidRPr="000E5A31">
        <w:rPr>
          <w:rFonts w:eastAsia="Calibri" w:cs="Arial"/>
          <w:szCs w:val="22"/>
          <w:lang w:eastAsia="en-US"/>
        </w:rPr>
        <w:lastRenderedPageBreak/>
        <w:t xml:space="preserve">Daher arbeitet das Vorhaben gemeinsam </w:t>
      </w:r>
      <w:r w:rsidR="0086485D" w:rsidRPr="000E5A31">
        <w:rPr>
          <w:rFonts w:eastAsia="Calibri" w:cs="Arial"/>
          <w:szCs w:val="22"/>
          <w:lang w:eastAsia="en-US"/>
        </w:rPr>
        <w:t xml:space="preserve">mit </w:t>
      </w:r>
      <w:r w:rsidRPr="000E5A31">
        <w:rPr>
          <w:rFonts w:eastAsia="Calibri" w:cs="Arial"/>
          <w:szCs w:val="22"/>
          <w:lang w:eastAsia="en-US"/>
        </w:rPr>
        <w:t xml:space="preserve">der </w:t>
      </w:r>
      <w:r w:rsidR="0086485D" w:rsidRPr="000E5A31">
        <w:rPr>
          <w:rFonts w:eastAsia="Calibri" w:cs="Arial"/>
          <w:szCs w:val="22"/>
          <w:lang w:eastAsia="en-US"/>
        </w:rPr>
        <w:t xml:space="preserve">SGE Wirtschaft </w:t>
      </w:r>
      <w:r w:rsidR="00F96C27" w:rsidRPr="000E5A31">
        <w:rPr>
          <w:rFonts w:eastAsia="Calibri" w:cs="Arial"/>
          <w:szCs w:val="22"/>
          <w:lang w:eastAsia="en-US"/>
        </w:rPr>
        <w:t xml:space="preserve">der GIZ </w:t>
      </w:r>
      <w:r w:rsidRPr="000E5A31">
        <w:rPr>
          <w:rFonts w:eastAsia="Calibri" w:cs="Arial"/>
          <w:szCs w:val="22"/>
          <w:lang w:eastAsia="en-US"/>
        </w:rPr>
        <w:t>und dem</w:t>
      </w:r>
      <w:r w:rsidR="0086485D" w:rsidRPr="000E5A31">
        <w:rPr>
          <w:rFonts w:eastAsia="Calibri" w:cs="Arial"/>
          <w:szCs w:val="22"/>
          <w:lang w:eastAsia="en-US"/>
        </w:rPr>
        <w:t xml:space="preserve"> SV „I</w:t>
      </w:r>
      <w:r w:rsidR="0086485D" w:rsidRPr="000E5A31">
        <w:rPr>
          <w:rFonts w:eastAsia="Calibri" w:cs="Arial"/>
          <w:szCs w:val="22"/>
          <w:lang w:eastAsia="en-US"/>
        </w:rPr>
        <w:t>n</w:t>
      </w:r>
      <w:r w:rsidR="0086485D" w:rsidRPr="000E5A31">
        <w:rPr>
          <w:rFonts w:eastAsia="Calibri" w:cs="Arial"/>
          <w:szCs w:val="22"/>
          <w:lang w:eastAsia="en-US"/>
        </w:rPr>
        <w:t xml:space="preserve">novative Kooperationsansätze mit der Wirtschaft (IKW)“ </w:t>
      </w:r>
      <w:r w:rsidRPr="000E5A31">
        <w:rPr>
          <w:rFonts w:eastAsia="Calibri" w:cs="Arial"/>
          <w:szCs w:val="22"/>
          <w:lang w:eastAsia="en-US"/>
        </w:rPr>
        <w:t xml:space="preserve">im Rahmen eines längerfristigen Projekts an einer </w:t>
      </w:r>
      <w:r w:rsidR="00C85B6B" w:rsidRPr="000E5A31">
        <w:rPr>
          <w:rFonts w:eastAsia="Calibri" w:cs="Arial"/>
          <w:szCs w:val="22"/>
          <w:lang w:eastAsia="en-US"/>
        </w:rPr>
        <w:t>Unterstützung von Cluster-Kooperationen DEU/EUR-MENA zwecks Unte</w:t>
      </w:r>
      <w:r w:rsidR="00C85B6B" w:rsidRPr="000E5A31">
        <w:rPr>
          <w:rFonts w:eastAsia="Calibri" w:cs="Arial"/>
          <w:szCs w:val="22"/>
          <w:lang w:eastAsia="en-US"/>
        </w:rPr>
        <w:t>r</w:t>
      </w:r>
      <w:r w:rsidR="00C85B6B" w:rsidRPr="000E5A31">
        <w:rPr>
          <w:rFonts w:eastAsia="Calibri" w:cs="Arial"/>
          <w:szCs w:val="22"/>
          <w:lang w:eastAsia="en-US"/>
        </w:rPr>
        <w:t>stützung von RE/EE Clusterbildungsprozessen</w:t>
      </w:r>
      <w:r w:rsidR="0086485D" w:rsidRPr="000E5A31">
        <w:rPr>
          <w:rFonts w:eastAsia="Calibri" w:cs="Arial"/>
          <w:szCs w:val="22"/>
          <w:lang w:eastAsia="en-US"/>
        </w:rPr>
        <w:t xml:space="preserve"> in </w:t>
      </w:r>
      <w:r w:rsidR="00446BC5" w:rsidRPr="000E5A31">
        <w:rPr>
          <w:rFonts w:eastAsia="Calibri" w:cs="Arial"/>
          <w:szCs w:val="22"/>
          <w:lang w:eastAsia="en-US"/>
        </w:rPr>
        <w:t xml:space="preserve">den </w:t>
      </w:r>
      <w:r w:rsidR="0086485D" w:rsidRPr="000E5A31">
        <w:rPr>
          <w:rFonts w:eastAsia="Calibri" w:cs="Arial"/>
          <w:szCs w:val="22"/>
          <w:lang w:eastAsia="en-US"/>
        </w:rPr>
        <w:t>RE-A</w:t>
      </w:r>
      <w:r w:rsidRPr="000E5A31">
        <w:rPr>
          <w:rFonts w:eastAsia="Calibri" w:cs="Arial"/>
          <w:szCs w:val="22"/>
          <w:lang w:eastAsia="en-US"/>
        </w:rPr>
        <w:t>CTIVATE</w:t>
      </w:r>
      <w:r w:rsidR="0086485D" w:rsidRPr="000E5A31">
        <w:rPr>
          <w:rFonts w:eastAsia="Calibri" w:cs="Arial"/>
          <w:szCs w:val="22"/>
          <w:lang w:eastAsia="en-US"/>
        </w:rPr>
        <w:t>-Fokusländern</w:t>
      </w:r>
      <w:r w:rsidRPr="000E5A31">
        <w:rPr>
          <w:rFonts w:eastAsia="Calibri" w:cs="Arial"/>
          <w:szCs w:val="22"/>
          <w:lang w:eastAsia="en-US"/>
        </w:rPr>
        <w:t>.</w:t>
      </w:r>
    </w:p>
    <w:p w:rsidR="0086485D" w:rsidRPr="000E5A31" w:rsidRDefault="00EE085F" w:rsidP="00B45C39">
      <w:pPr>
        <w:spacing w:after="120"/>
        <w:rPr>
          <w:rFonts w:eastAsia="Calibri" w:cs="Arial"/>
          <w:szCs w:val="22"/>
          <w:lang w:eastAsia="en-US"/>
        </w:rPr>
      </w:pPr>
      <w:r w:rsidRPr="000E5A31">
        <w:rPr>
          <w:rFonts w:eastAsia="Calibri" w:cs="Arial"/>
          <w:szCs w:val="22"/>
          <w:lang w:eastAsia="en-US"/>
        </w:rPr>
        <w:t xml:space="preserve">Zur Vorbereitung dieser Maßnahme wurden 2014 </w:t>
      </w:r>
      <w:r w:rsidR="0086485D" w:rsidRPr="000E5A31">
        <w:rPr>
          <w:rFonts w:eastAsia="Calibri" w:cs="Arial"/>
          <w:szCs w:val="22"/>
          <w:lang w:eastAsia="en-US"/>
        </w:rPr>
        <w:t xml:space="preserve">zwei Workshops </w:t>
      </w:r>
      <w:r w:rsidRPr="000E5A31">
        <w:rPr>
          <w:rFonts w:eastAsia="Calibri" w:cs="Arial"/>
          <w:szCs w:val="22"/>
          <w:lang w:eastAsia="en-US"/>
        </w:rPr>
        <w:t xml:space="preserve">durchgeführt: ein erster am 11.11.2014 </w:t>
      </w:r>
      <w:r w:rsidR="0086485D" w:rsidRPr="000E5A31">
        <w:rPr>
          <w:rFonts w:eastAsia="Calibri" w:cs="Arial"/>
          <w:szCs w:val="22"/>
          <w:lang w:eastAsia="en-US"/>
        </w:rPr>
        <w:t xml:space="preserve">in Berlin </w:t>
      </w:r>
      <w:r w:rsidRPr="000E5A31">
        <w:rPr>
          <w:rFonts w:eastAsia="Calibri" w:cs="Arial"/>
          <w:szCs w:val="22"/>
          <w:lang w:eastAsia="en-US"/>
        </w:rPr>
        <w:t xml:space="preserve">sowie ein zweiter am </w:t>
      </w:r>
      <w:r w:rsidR="0086485D" w:rsidRPr="000E5A31">
        <w:rPr>
          <w:rFonts w:eastAsia="Calibri" w:cs="Arial"/>
          <w:szCs w:val="22"/>
          <w:lang w:eastAsia="en-US"/>
        </w:rPr>
        <w:t>16.12.2014</w:t>
      </w:r>
      <w:r w:rsidRPr="000E5A31">
        <w:rPr>
          <w:rFonts w:eastAsia="Calibri" w:cs="Arial"/>
          <w:szCs w:val="22"/>
          <w:lang w:eastAsia="en-US"/>
        </w:rPr>
        <w:t xml:space="preserve"> in Bonn.</w:t>
      </w:r>
      <w:r w:rsidR="0086485D" w:rsidRPr="000E5A31">
        <w:rPr>
          <w:rFonts w:eastAsia="Calibri" w:cs="Arial"/>
          <w:szCs w:val="22"/>
          <w:lang w:eastAsia="en-US"/>
        </w:rPr>
        <w:t xml:space="preserve"> </w:t>
      </w:r>
      <w:r w:rsidR="00D26BE8" w:rsidRPr="000E5A31">
        <w:rPr>
          <w:rFonts w:eastAsia="Calibri" w:cs="Arial"/>
          <w:szCs w:val="22"/>
          <w:lang w:eastAsia="en-US"/>
        </w:rPr>
        <w:t xml:space="preserve">Hierbei ging es auch um die </w:t>
      </w:r>
      <w:r w:rsidR="0086485D" w:rsidRPr="000E5A31">
        <w:rPr>
          <w:rFonts w:eastAsia="Calibri" w:cs="Arial"/>
          <w:szCs w:val="22"/>
          <w:lang w:eastAsia="en-US"/>
        </w:rPr>
        <w:t xml:space="preserve">Vorbereitung zweier Studien: a) einer Bestandsaufnahme von Kooperationsaktivitäten und </w:t>
      </w:r>
      <w:r w:rsidR="00714B11" w:rsidRPr="000E5A31">
        <w:rPr>
          <w:rFonts w:eastAsia="Calibri" w:cs="Arial"/>
          <w:szCs w:val="22"/>
          <w:lang w:eastAsia="en-US"/>
        </w:rPr>
        <w:t>-</w:t>
      </w:r>
      <w:r w:rsidR="00005628" w:rsidRPr="000E5A31">
        <w:rPr>
          <w:rFonts w:eastAsia="Calibri" w:cs="Arial"/>
          <w:szCs w:val="22"/>
          <w:lang w:eastAsia="en-US"/>
        </w:rPr>
        <w:t>i</w:t>
      </w:r>
      <w:r w:rsidR="00714B11" w:rsidRPr="000E5A31">
        <w:rPr>
          <w:rFonts w:eastAsia="Calibri" w:cs="Arial"/>
          <w:szCs w:val="22"/>
          <w:lang w:eastAsia="en-US"/>
        </w:rPr>
        <w:t>nteressen</w:t>
      </w:r>
      <w:r w:rsidR="0086485D" w:rsidRPr="000E5A31">
        <w:rPr>
          <w:rFonts w:eastAsia="Calibri" w:cs="Arial"/>
          <w:szCs w:val="22"/>
          <w:lang w:eastAsia="en-US"/>
        </w:rPr>
        <w:t xml:space="preserve"> deutscher RE/EE</w:t>
      </w:r>
      <w:r w:rsidR="00F96C27" w:rsidRPr="000E5A31">
        <w:rPr>
          <w:rFonts w:eastAsia="Calibri" w:cs="Arial"/>
          <w:szCs w:val="22"/>
          <w:lang w:eastAsia="en-US"/>
        </w:rPr>
        <w:t>-</w:t>
      </w:r>
      <w:r w:rsidR="0086485D" w:rsidRPr="000E5A31">
        <w:rPr>
          <w:rFonts w:eastAsia="Calibri" w:cs="Arial"/>
          <w:szCs w:val="22"/>
          <w:lang w:eastAsia="en-US"/>
        </w:rPr>
        <w:t>Cluster in MENA sowie eines Konzeptpapiers zu Durc</w:t>
      </w:r>
      <w:r w:rsidR="0086485D" w:rsidRPr="000E5A31">
        <w:rPr>
          <w:rFonts w:eastAsia="Calibri" w:cs="Arial"/>
          <w:szCs w:val="22"/>
          <w:lang w:eastAsia="en-US"/>
        </w:rPr>
        <w:t>h</w:t>
      </w:r>
      <w:r w:rsidR="0086485D" w:rsidRPr="000E5A31">
        <w:rPr>
          <w:rFonts w:eastAsia="Calibri" w:cs="Arial"/>
          <w:szCs w:val="22"/>
          <w:lang w:eastAsia="en-US"/>
        </w:rPr>
        <w:t>führungsperspektiven und -optionen solche</w:t>
      </w:r>
      <w:r w:rsidR="00005628" w:rsidRPr="000E5A31">
        <w:rPr>
          <w:rFonts w:eastAsia="Calibri" w:cs="Arial"/>
          <w:szCs w:val="22"/>
          <w:lang w:eastAsia="en-US"/>
        </w:rPr>
        <w:t>r</w:t>
      </w:r>
      <w:r w:rsidR="0086485D" w:rsidRPr="000E5A31">
        <w:rPr>
          <w:rFonts w:eastAsia="Calibri" w:cs="Arial"/>
          <w:szCs w:val="22"/>
          <w:lang w:eastAsia="en-US"/>
        </w:rPr>
        <w:t xml:space="preserve"> Kooperation</w:t>
      </w:r>
      <w:r w:rsidR="00005628" w:rsidRPr="000E5A31">
        <w:rPr>
          <w:rFonts w:eastAsia="Calibri" w:cs="Arial"/>
          <w:szCs w:val="22"/>
          <w:lang w:eastAsia="en-US"/>
        </w:rPr>
        <w:t>en</w:t>
      </w:r>
      <w:r w:rsidR="0086485D" w:rsidRPr="000E5A31">
        <w:rPr>
          <w:rFonts w:eastAsia="Calibri" w:cs="Arial"/>
          <w:szCs w:val="22"/>
          <w:lang w:eastAsia="en-US"/>
        </w:rPr>
        <w:t>; b) eines ersten Screenings von RE/EE</w:t>
      </w:r>
      <w:r w:rsidR="00F96C27" w:rsidRPr="000E5A31">
        <w:rPr>
          <w:rFonts w:eastAsia="Calibri" w:cs="Arial"/>
          <w:szCs w:val="22"/>
          <w:lang w:eastAsia="en-US"/>
        </w:rPr>
        <w:t>-</w:t>
      </w:r>
      <w:r w:rsidR="0086485D" w:rsidRPr="000E5A31">
        <w:rPr>
          <w:rFonts w:eastAsia="Calibri" w:cs="Arial"/>
          <w:szCs w:val="22"/>
          <w:lang w:eastAsia="en-US"/>
        </w:rPr>
        <w:t>Clusterbildungsprozessen in MENA zu</w:t>
      </w:r>
      <w:r w:rsidR="00005628" w:rsidRPr="000E5A31">
        <w:rPr>
          <w:rFonts w:eastAsia="Calibri" w:cs="Arial"/>
          <w:szCs w:val="22"/>
          <w:lang w:eastAsia="en-US"/>
        </w:rPr>
        <w:t>r</w:t>
      </w:r>
      <w:r w:rsidR="0086485D" w:rsidRPr="000E5A31">
        <w:rPr>
          <w:rFonts w:eastAsia="Calibri" w:cs="Arial"/>
          <w:szCs w:val="22"/>
          <w:lang w:eastAsia="en-US"/>
        </w:rPr>
        <w:t xml:space="preserve"> Identifizierung von Kooperationspotentialen und Unterstützungsbedarfen und geeigneten Ansprechpartnern und Anknüpfungspunkten.</w:t>
      </w:r>
    </w:p>
    <w:p w:rsidR="0086485D" w:rsidRPr="000E5A31" w:rsidRDefault="00D26BE8" w:rsidP="00B45C39">
      <w:pPr>
        <w:spacing w:after="120"/>
        <w:rPr>
          <w:rFonts w:eastAsia="Calibri" w:cs="Arial"/>
          <w:szCs w:val="22"/>
          <w:lang w:eastAsia="en-US"/>
        </w:rPr>
      </w:pPr>
      <w:r w:rsidRPr="000E5A31">
        <w:rPr>
          <w:rFonts w:eastAsia="Calibri" w:cs="Arial"/>
          <w:szCs w:val="22"/>
          <w:lang w:eastAsia="en-US"/>
        </w:rPr>
        <w:t xml:space="preserve">Die Ergebnisse dieser Studien wurden am </w:t>
      </w:r>
      <w:r w:rsidR="0086485D" w:rsidRPr="000E5A31">
        <w:rPr>
          <w:rFonts w:eastAsia="Calibri" w:cs="Arial"/>
          <w:szCs w:val="22"/>
          <w:lang w:eastAsia="en-US"/>
        </w:rPr>
        <w:t>06.05.2015</w:t>
      </w:r>
      <w:r w:rsidRPr="000E5A31">
        <w:rPr>
          <w:rFonts w:eastAsia="Calibri" w:cs="Arial"/>
          <w:szCs w:val="22"/>
          <w:lang w:eastAsia="en-US"/>
        </w:rPr>
        <w:t xml:space="preserve"> im Rahmen eines inter-regionalen Stakeholder Workshops</w:t>
      </w:r>
      <w:r w:rsidR="0092263B" w:rsidRPr="000E5A31">
        <w:rPr>
          <w:rFonts w:eastAsia="Calibri" w:cs="Arial"/>
          <w:szCs w:val="22"/>
          <w:lang w:eastAsia="en-US"/>
        </w:rPr>
        <w:t xml:space="preserve"> in Hamburg vorgestellt (Titel: </w:t>
      </w:r>
      <w:r w:rsidR="0092263B" w:rsidRPr="000E5A31">
        <w:rPr>
          <w:rFonts w:eastAsia="Cambria" w:cs="Arial"/>
          <w:bCs/>
          <w:szCs w:val="22"/>
          <w:lang w:eastAsia="fr-FR"/>
        </w:rPr>
        <w:t>“Promoting Cluster Cooperation with the MENA Region in the Sustainable Energy Sector”)</w:t>
      </w:r>
      <w:r w:rsidRPr="000E5A31">
        <w:rPr>
          <w:rFonts w:eastAsia="Calibri" w:cs="Arial"/>
          <w:szCs w:val="22"/>
          <w:lang w:eastAsia="en-US"/>
        </w:rPr>
        <w:t xml:space="preserve">, der </w:t>
      </w:r>
      <w:r w:rsidR="0086485D" w:rsidRPr="000E5A31">
        <w:rPr>
          <w:rFonts w:eastAsia="Calibri" w:cs="Arial"/>
          <w:szCs w:val="22"/>
          <w:lang w:eastAsia="en-US"/>
        </w:rPr>
        <w:t xml:space="preserve">am Rande des Deutsch-Afrikanischen Energieforums </w:t>
      </w:r>
      <w:r w:rsidRPr="000E5A31">
        <w:rPr>
          <w:rFonts w:eastAsia="Calibri" w:cs="Arial"/>
          <w:szCs w:val="22"/>
          <w:lang w:eastAsia="en-US"/>
        </w:rPr>
        <w:t xml:space="preserve">stattfand. Eingeladen waren </w:t>
      </w:r>
      <w:r w:rsidR="0086485D" w:rsidRPr="000E5A31">
        <w:rPr>
          <w:rFonts w:eastAsia="Calibri" w:cs="Arial"/>
          <w:szCs w:val="22"/>
          <w:lang w:eastAsia="en-US"/>
        </w:rPr>
        <w:t>ausgewählte Clustervertreter aus 6 Euromed-Ländern: DEU, EGY, ESP, FRA, MAR, TUN.</w:t>
      </w:r>
      <w:r w:rsidRPr="000E5A31">
        <w:rPr>
          <w:rFonts w:eastAsia="Calibri" w:cs="Arial"/>
          <w:szCs w:val="22"/>
          <w:lang w:eastAsia="en-US"/>
        </w:rPr>
        <w:t xml:space="preserve"> Ziel des Workshops war (neben der Präsentation und </w:t>
      </w:r>
      <w:r w:rsidR="00714B11" w:rsidRPr="000E5A31">
        <w:rPr>
          <w:rFonts w:eastAsia="Calibri" w:cs="Arial"/>
          <w:szCs w:val="22"/>
          <w:lang w:eastAsia="en-US"/>
        </w:rPr>
        <w:t>Diskussion</w:t>
      </w:r>
      <w:r w:rsidRPr="000E5A31">
        <w:rPr>
          <w:rFonts w:eastAsia="Calibri" w:cs="Arial"/>
          <w:szCs w:val="22"/>
          <w:lang w:eastAsia="en-US"/>
        </w:rPr>
        <w:t xml:space="preserve"> der Studieninhalte) v.a. auch die Konstituierung eines länder- und regionenübergreifenden Clusternetzwerks sowie die Identifizierung konkreter Kooperat</w:t>
      </w:r>
      <w:r w:rsidRPr="000E5A31">
        <w:rPr>
          <w:rFonts w:eastAsia="Calibri" w:cs="Arial"/>
          <w:szCs w:val="22"/>
          <w:lang w:eastAsia="en-US"/>
        </w:rPr>
        <w:t>i</w:t>
      </w:r>
      <w:r w:rsidRPr="000E5A31">
        <w:rPr>
          <w:rFonts w:eastAsia="Calibri" w:cs="Arial"/>
          <w:szCs w:val="22"/>
          <w:lang w:eastAsia="en-US"/>
        </w:rPr>
        <w:t>onsmöglichkeiten und Unterstützungsbedarfe.</w:t>
      </w:r>
      <w:r w:rsidR="00005628" w:rsidRPr="000E5A31">
        <w:rPr>
          <w:rFonts w:eastAsia="Calibri" w:cs="Arial"/>
          <w:szCs w:val="22"/>
          <w:lang w:eastAsia="en-US"/>
        </w:rPr>
        <w:t xml:space="preserve"> Die Teilnehmer äußerten großes Interesses an einer Fortführung der Maßnahme sowie an einer Verstetigung des Netzwerkes.</w:t>
      </w:r>
    </w:p>
    <w:p w:rsidR="0086485D" w:rsidRPr="000E5A31" w:rsidRDefault="00714B11" w:rsidP="00B45C39">
      <w:pPr>
        <w:spacing w:after="120"/>
        <w:rPr>
          <w:rFonts w:eastAsia="Calibri" w:cs="Arial"/>
          <w:szCs w:val="22"/>
          <w:lang w:eastAsia="en-US"/>
        </w:rPr>
      </w:pPr>
      <w:r w:rsidRPr="000E5A31">
        <w:rPr>
          <w:rFonts w:eastAsia="Calibri" w:cs="Arial"/>
          <w:szCs w:val="22"/>
          <w:lang w:eastAsia="en-US"/>
        </w:rPr>
        <w:t>Aktuell</w:t>
      </w:r>
      <w:r w:rsidR="008D2B57" w:rsidRPr="000E5A31">
        <w:rPr>
          <w:rFonts w:eastAsia="Calibri" w:cs="Arial"/>
          <w:szCs w:val="22"/>
          <w:lang w:eastAsia="en-US"/>
        </w:rPr>
        <w:t xml:space="preserve"> werden im Auftrag </w:t>
      </w:r>
      <w:r w:rsidR="00446BC5" w:rsidRPr="000E5A31">
        <w:rPr>
          <w:rFonts w:eastAsia="Calibri" w:cs="Arial"/>
          <w:szCs w:val="22"/>
          <w:lang w:eastAsia="en-US"/>
        </w:rPr>
        <w:t>von RE-ACTIVATE</w:t>
      </w:r>
      <w:r w:rsidR="008D2B57" w:rsidRPr="000E5A31">
        <w:rPr>
          <w:rFonts w:eastAsia="Calibri" w:cs="Arial"/>
          <w:szCs w:val="22"/>
          <w:lang w:eastAsia="en-US"/>
        </w:rPr>
        <w:t xml:space="preserve"> </w:t>
      </w:r>
      <w:r w:rsidR="0086485D" w:rsidRPr="000E5A31">
        <w:rPr>
          <w:rFonts w:eastAsia="Calibri" w:cs="Arial"/>
          <w:szCs w:val="22"/>
          <w:lang w:eastAsia="en-US"/>
        </w:rPr>
        <w:t xml:space="preserve">Vertiefungsanalysen für die </w:t>
      </w:r>
      <w:r w:rsidR="008D2B57" w:rsidRPr="000E5A31">
        <w:rPr>
          <w:rFonts w:eastAsia="Calibri" w:cs="Arial"/>
          <w:szCs w:val="22"/>
          <w:lang w:eastAsia="en-US"/>
        </w:rPr>
        <w:t xml:space="preserve">im Rahmen der </w:t>
      </w:r>
      <w:r w:rsidRPr="000E5A31">
        <w:rPr>
          <w:rFonts w:eastAsia="Calibri" w:cs="Arial"/>
          <w:szCs w:val="22"/>
          <w:lang w:eastAsia="en-US"/>
        </w:rPr>
        <w:t>Screening</w:t>
      </w:r>
      <w:r w:rsidR="008D2B57" w:rsidRPr="000E5A31">
        <w:rPr>
          <w:rFonts w:eastAsia="Calibri" w:cs="Arial"/>
          <w:szCs w:val="22"/>
          <w:lang w:eastAsia="en-US"/>
        </w:rPr>
        <w:t>-Studie prä-</w:t>
      </w:r>
      <w:r w:rsidR="0086485D" w:rsidRPr="000E5A31">
        <w:rPr>
          <w:rFonts w:eastAsia="Calibri" w:cs="Arial"/>
          <w:szCs w:val="22"/>
          <w:lang w:eastAsia="en-US"/>
        </w:rPr>
        <w:t xml:space="preserve">identifizierten Cluster </w:t>
      </w:r>
      <w:r w:rsidR="008D2B57" w:rsidRPr="000E5A31">
        <w:rPr>
          <w:rFonts w:eastAsia="Calibri" w:cs="Arial"/>
          <w:szCs w:val="22"/>
          <w:lang w:eastAsia="en-US"/>
        </w:rPr>
        <w:t xml:space="preserve">durchgeführt, um </w:t>
      </w:r>
      <w:r w:rsidR="00005628" w:rsidRPr="000E5A31">
        <w:rPr>
          <w:rFonts w:eastAsia="Calibri" w:cs="Arial"/>
          <w:szCs w:val="22"/>
          <w:lang w:eastAsia="en-US"/>
        </w:rPr>
        <w:t>d</w:t>
      </w:r>
      <w:r w:rsidR="00446BC5" w:rsidRPr="000E5A31">
        <w:rPr>
          <w:rFonts w:eastAsia="Calibri" w:cs="Arial"/>
          <w:szCs w:val="22"/>
          <w:lang w:eastAsia="en-US"/>
        </w:rPr>
        <w:t xml:space="preserve">ie dort getroffenen </w:t>
      </w:r>
      <w:r w:rsidR="0086485D" w:rsidRPr="000E5A31">
        <w:rPr>
          <w:rFonts w:eastAsia="Calibri" w:cs="Arial"/>
          <w:szCs w:val="22"/>
          <w:lang w:eastAsia="en-US"/>
        </w:rPr>
        <w:t>Empfe</w:t>
      </w:r>
      <w:r w:rsidR="0086485D" w:rsidRPr="000E5A31">
        <w:rPr>
          <w:rFonts w:eastAsia="Calibri" w:cs="Arial"/>
          <w:szCs w:val="22"/>
          <w:lang w:eastAsia="en-US"/>
        </w:rPr>
        <w:t>h</w:t>
      </w:r>
      <w:r w:rsidR="0086485D" w:rsidRPr="000E5A31">
        <w:rPr>
          <w:rFonts w:eastAsia="Calibri" w:cs="Arial"/>
          <w:szCs w:val="22"/>
          <w:lang w:eastAsia="en-US"/>
        </w:rPr>
        <w:t xml:space="preserve">lungen </w:t>
      </w:r>
      <w:r w:rsidR="008D2B57" w:rsidRPr="000E5A31">
        <w:rPr>
          <w:rFonts w:eastAsia="Calibri" w:cs="Arial"/>
          <w:szCs w:val="22"/>
          <w:lang w:eastAsia="en-US"/>
        </w:rPr>
        <w:t xml:space="preserve">zu validieren und </w:t>
      </w:r>
      <w:r w:rsidR="00446BC5" w:rsidRPr="000E5A31">
        <w:rPr>
          <w:rFonts w:eastAsia="Calibri" w:cs="Arial"/>
          <w:szCs w:val="22"/>
          <w:lang w:eastAsia="en-US"/>
        </w:rPr>
        <w:t xml:space="preserve">für konkrete </w:t>
      </w:r>
      <w:r w:rsidR="00005628" w:rsidRPr="000E5A31">
        <w:rPr>
          <w:rFonts w:eastAsia="Calibri" w:cs="Arial"/>
          <w:szCs w:val="22"/>
          <w:lang w:eastAsia="en-US"/>
        </w:rPr>
        <w:t>Kooperations</w:t>
      </w:r>
      <w:r w:rsidR="00446BC5" w:rsidRPr="000E5A31">
        <w:rPr>
          <w:rFonts w:eastAsia="Calibri" w:cs="Arial"/>
          <w:szCs w:val="22"/>
          <w:lang w:eastAsia="en-US"/>
        </w:rPr>
        <w:t>maßnahmen nutzbar zu machen</w:t>
      </w:r>
      <w:r w:rsidR="0086485D" w:rsidRPr="000E5A31">
        <w:rPr>
          <w:rFonts w:eastAsia="Calibri" w:cs="Arial"/>
          <w:szCs w:val="22"/>
          <w:lang w:eastAsia="en-US"/>
        </w:rPr>
        <w:t>.</w:t>
      </w:r>
    </w:p>
    <w:p w:rsidR="0086485D" w:rsidRPr="000E5A31" w:rsidRDefault="00446BC5" w:rsidP="00B45C39">
      <w:pPr>
        <w:spacing w:after="120"/>
        <w:rPr>
          <w:rFonts w:eastAsia="Calibri" w:cs="Arial"/>
          <w:szCs w:val="22"/>
          <w:lang w:eastAsia="en-US"/>
        </w:rPr>
      </w:pPr>
      <w:r w:rsidRPr="000E5A31">
        <w:rPr>
          <w:rFonts w:eastAsia="Calibri" w:cs="Arial"/>
          <w:szCs w:val="22"/>
          <w:lang w:eastAsia="en-US"/>
        </w:rPr>
        <w:t>Zu</w:t>
      </w:r>
      <w:r w:rsidR="008D2B57" w:rsidRPr="000E5A31">
        <w:rPr>
          <w:rFonts w:eastAsia="Calibri" w:cs="Arial"/>
          <w:szCs w:val="22"/>
          <w:lang w:eastAsia="en-US"/>
        </w:rPr>
        <w:t xml:space="preserve">dem werden bereits </w:t>
      </w:r>
      <w:r w:rsidRPr="000E5A31">
        <w:rPr>
          <w:rFonts w:eastAsia="Calibri" w:cs="Arial"/>
          <w:szCs w:val="22"/>
          <w:lang w:eastAsia="en-US"/>
        </w:rPr>
        <w:t xml:space="preserve">jetzt </w:t>
      </w:r>
      <w:r w:rsidR="008D2B57" w:rsidRPr="000E5A31">
        <w:rPr>
          <w:rFonts w:eastAsia="Calibri" w:cs="Arial"/>
          <w:szCs w:val="22"/>
          <w:lang w:eastAsia="en-US"/>
        </w:rPr>
        <w:t xml:space="preserve">erste Kooperationen mit marokkanischen Clustern (dem </w:t>
      </w:r>
      <w:r w:rsidR="0086485D" w:rsidRPr="000E5A31">
        <w:rPr>
          <w:rFonts w:eastAsia="Calibri" w:cs="Arial"/>
          <w:szCs w:val="22"/>
          <w:lang w:eastAsia="en-US"/>
        </w:rPr>
        <w:t>Cluster Solaire sowie de</w:t>
      </w:r>
      <w:r w:rsidR="008D2B57" w:rsidRPr="000E5A31">
        <w:rPr>
          <w:rFonts w:eastAsia="Calibri" w:cs="Arial"/>
          <w:szCs w:val="22"/>
          <w:lang w:eastAsia="en-US"/>
        </w:rPr>
        <w:t xml:space="preserve">m </w:t>
      </w:r>
      <w:r w:rsidR="0086485D" w:rsidRPr="000E5A31">
        <w:rPr>
          <w:rFonts w:eastAsia="Calibri" w:cs="Arial"/>
          <w:szCs w:val="22"/>
          <w:lang w:eastAsia="en-US"/>
        </w:rPr>
        <w:t>Cluster</w:t>
      </w:r>
      <w:r w:rsidR="008D2B57" w:rsidRPr="000E5A31">
        <w:rPr>
          <w:rFonts w:eastAsia="Calibri" w:cs="Arial"/>
          <w:szCs w:val="22"/>
          <w:lang w:eastAsia="en-US"/>
        </w:rPr>
        <w:t xml:space="preserve"> </w:t>
      </w:r>
      <w:r w:rsidR="0086485D" w:rsidRPr="000E5A31">
        <w:rPr>
          <w:rFonts w:eastAsia="Calibri" w:cs="Arial"/>
          <w:szCs w:val="22"/>
          <w:lang w:eastAsia="en-US"/>
        </w:rPr>
        <w:t>Energieeffizienz im Gebäudesektor</w:t>
      </w:r>
      <w:r w:rsidRPr="000E5A31">
        <w:rPr>
          <w:rFonts w:eastAsia="Calibri" w:cs="Arial"/>
          <w:szCs w:val="22"/>
          <w:lang w:eastAsia="en-US"/>
        </w:rPr>
        <w:t>, EMC</w:t>
      </w:r>
      <w:r w:rsidR="0086485D" w:rsidRPr="000E5A31">
        <w:rPr>
          <w:rFonts w:eastAsia="Calibri" w:cs="Arial"/>
          <w:szCs w:val="22"/>
          <w:lang w:eastAsia="en-US"/>
        </w:rPr>
        <w:t xml:space="preserve">) </w:t>
      </w:r>
      <w:r w:rsidR="008D2B57" w:rsidRPr="000E5A31">
        <w:rPr>
          <w:rFonts w:eastAsia="Calibri" w:cs="Arial"/>
          <w:szCs w:val="22"/>
          <w:lang w:eastAsia="en-US"/>
        </w:rPr>
        <w:t xml:space="preserve">durchgeführt (zu </w:t>
      </w:r>
      <w:r w:rsidR="0086485D" w:rsidRPr="000E5A31">
        <w:rPr>
          <w:rFonts w:eastAsia="Calibri" w:cs="Arial"/>
          <w:szCs w:val="22"/>
          <w:lang w:eastAsia="en-US"/>
        </w:rPr>
        <w:t>Str</w:t>
      </w:r>
      <w:r w:rsidR="0086485D" w:rsidRPr="000E5A31">
        <w:rPr>
          <w:rFonts w:eastAsia="Calibri" w:cs="Arial"/>
          <w:szCs w:val="22"/>
          <w:lang w:eastAsia="en-US"/>
        </w:rPr>
        <w:t>a</w:t>
      </w:r>
      <w:r w:rsidR="0086485D" w:rsidRPr="000E5A31">
        <w:rPr>
          <w:rFonts w:eastAsia="Calibri" w:cs="Arial"/>
          <w:szCs w:val="22"/>
          <w:lang w:eastAsia="en-US"/>
        </w:rPr>
        <w:t>tegie- und Organisationsberatung, Ausstattungshilfe</w:t>
      </w:r>
      <w:r w:rsidR="008D2B57" w:rsidRPr="000E5A31">
        <w:rPr>
          <w:rFonts w:eastAsia="Calibri" w:cs="Arial"/>
          <w:szCs w:val="22"/>
          <w:lang w:eastAsia="en-US"/>
        </w:rPr>
        <w:t xml:space="preserve"> </w:t>
      </w:r>
      <w:r w:rsidRPr="000E5A31">
        <w:rPr>
          <w:rFonts w:eastAsia="Calibri" w:cs="Arial"/>
          <w:szCs w:val="22"/>
          <w:lang w:eastAsia="en-US"/>
        </w:rPr>
        <w:t>und</w:t>
      </w:r>
      <w:r w:rsidR="0086485D" w:rsidRPr="000E5A31">
        <w:rPr>
          <w:rFonts w:eastAsia="Calibri" w:cs="Arial"/>
          <w:szCs w:val="22"/>
          <w:lang w:eastAsia="en-US"/>
        </w:rPr>
        <w:t xml:space="preserve"> </w:t>
      </w:r>
      <w:r w:rsidR="008D2B57" w:rsidRPr="000E5A31">
        <w:rPr>
          <w:rFonts w:eastAsia="Calibri" w:cs="Arial"/>
          <w:szCs w:val="22"/>
          <w:lang w:eastAsia="en-US"/>
        </w:rPr>
        <w:t>der</w:t>
      </w:r>
      <w:r w:rsidR="0086485D" w:rsidRPr="000E5A31">
        <w:rPr>
          <w:rFonts w:eastAsia="Calibri" w:cs="Arial"/>
          <w:szCs w:val="22"/>
          <w:lang w:eastAsia="en-US"/>
        </w:rPr>
        <w:t xml:space="preserve"> Durchführung von Trainings).</w:t>
      </w:r>
    </w:p>
    <w:p w:rsidR="0086485D" w:rsidRPr="000E5A31" w:rsidRDefault="00B45C39" w:rsidP="0086485D">
      <w:pPr>
        <w:spacing w:after="120"/>
        <w:rPr>
          <w:rFonts w:eastAsia="Calibri" w:cs="Arial"/>
          <w:szCs w:val="22"/>
          <w:lang w:eastAsia="en-US"/>
        </w:rPr>
      </w:pPr>
      <w:r w:rsidRPr="000E5A31">
        <w:rPr>
          <w:rFonts w:eastAsia="Calibri" w:cs="Arial"/>
          <w:b/>
          <w:szCs w:val="22"/>
          <w:lang w:eastAsia="en-US"/>
        </w:rPr>
        <w:t xml:space="preserve">Indikator </w:t>
      </w:r>
      <w:r w:rsidRPr="000E5A31">
        <w:rPr>
          <w:rFonts w:cs="Arial"/>
          <w:b/>
          <w:szCs w:val="22"/>
        </w:rPr>
        <w:t>3:</w:t>
      </w:r>
      <w:r w:rsidRPr="000E5A31">
        <w:rPr>
          <w:rFonts w:cs="Arial"/>
          <w:szCs w:val="22"/>
        </w:rPr>
        <w:t xml:space="preserve"> Für 2 RE/EE-Marktsegmente (wie z.B. Photovoltaikanlagen auf Privathäusern, Solarwarmwasserbereitung) sind in 2 Ländern Aus- und Fortbildungsangebote sowie Qual</w:t>
      </w:r>
      <w:r w:rsidRPr="000E5A31">
        <w:rPr>
          <w:rFonts w:cs="Arial"/>
          <w:szCs w:val="22"/>
        </w:rPr>
        <w:t>i</w:t>
      </w:r>
      <w:r w:rsidRPr="000E5A31">
        <w:rPr>
          <w:rFonts w:cs="Arial"/>
          <w:szCs w:val="22"/>
        </w:rPr>
        <w:t>tätssicherungssysteme etabliert.</w:t>
      </w:r>
    </w:p>
    <w:p w:rsidR="00B6052F" w:rsidRPr="000E5A31" w:rsidRDefault="00E1777B" w:rsidP="00B6052F">
      <w:pPr>
        <w:spacing w:after="120"/>
        <w:rPr>
          <w:rFonts w:eastAsia="Calibri" w:cs="Arial"/>
          <w:szCs w:val="22"/>
          <w:lang w:eastAsia="en-US"/>
        </w:rPr>
      </w:pPr>
      <w:r w:rsidRPr="000E5A31">
        <w:rPr>
          <w:rFonts w:eastAsia="Calibri" w:cs="Arial"/>
          <w:szCs w:val="22"/>
          <w:lang w:eastAsia="en-US"/>
        </w:rPr>
        <w:t xml:space="preserve">Zur Erfüllung dieses Indikators </w:t>
      </w:r>
      <w:r w:rsidR="00B6052F" w:rsidRPr="000E5A31">
        <w:rPr>
          <w:rFonts w:eastAsia="Calibri" w:cs="Arial"/>
          <w:szCs w:val="22"/>
          <w:lang w:eastAsia="en-US"/>
        </w:rPr>
        <w:t>führt das Vorhaben in Zusammenarbeit mit Partnern vor Ort Trainingsmaßnahmen für ausgewählte Stakeholder in bestimmten Schwerpunktthemen durch: aktuell insbesondere zu RE/EE im Industrie- sowie bald auch im Agrarsektor.</w:t>
      </w:r>
    </w:p>
    <w:p w:rsidR="00B6052F" w:rsidRPr="000E5A31" w:rsidRDefault="00B6052F" w:rsidP="00B6052F">
      <w:pPr>
        <w:spacing w:after="120"/>
        <w:rPr>
          <w:rFonts w:eastAsia="Calibri" w:cs="Arial"/>
          <w:szCs w:val="22"/>
          <w:lang w:eastAsia="en-US"/>
        </w:rPr>
      </w:pPr>
      <w:r w:rsidRPr="000E5A31">
        <w:rPr>
          <w:rFonts w:eastAsia="Cambria" w:cs="Arial"/>
          <w:bCs/>
          <w:szCs w:val="22"/>
          <w:lang w:eastAsia="fr-FR"/>
        </w:rPr>
        <w:t>Der Auftakt war eine Fortbildung zu EE im Industriesektor, welche das Vorhaben gemeinsam mit der AHK Tunis und der Renewables Acad</w:t>
      </w:r>
      <w:r w:rsidR="00714B11" w:rsidRPr="000E5A31">
        <w:rPr>
          <w:rFonts w:eastAsia="Cambria" w:cs="Arial"/>
          <w:bCs/>
          <w:szCs w:val="22"/>
          <w:lang w:eastAsia="fr-FR"/>
        </w:rPr>
        <w:t>e</w:t>
      </w:r>
      <w:r w:rsidRPr="000E5A31">
        <w:rPr>
          <w:rFonts w:eastAsia="Cambria" w:cs="Arial"/>
          <w:bCs/>
          <w:szCs w:val="22"/>
          <w:lang w:eastAsia="fr-FR"/>
        </w:rPr>
        <w:t>my Berlin (RENAC) vom 24-.27.11.2014 in Tunis organisierte. Teilnehmer waren Fach- und Führungskräfte aus energieinten</w:t>
      </w:r>
      <w:r w:rsidR="00714B11" w:rsidRPr="000E5A31">
        <w:rPr>
          <w:rFonts w:eastAsia="Cambria" w:cs="Arial"/>
          <w:bCs/>
          <w:szCs w:val="22"/>
          <w:lang w:eastAsia="fr-FR"/>
        </w:rPr>
        <w:t>s</w:t>
      </w:r>
      <w:r w:rsidRPr="000E5A31">
        <w:rPr>
          <w:rFonts w:eastAsia="Cambria" w:cs="Arial"/>
          <w:bCs/>
          <w:szCs w:val="22"/>
          <w:lang w:eastAsia="fr-FR"/>
        </w:rPr>
        <w:t>iven</w:t>
      </w:r>
      <w:r w:rsidR="00714B11" w:rsidRPr="000E5A31">
        <w:rPr>
          <w:rFonts w:eastAsia="Cambria" w:cs="Arial"/>
          <w:bCs/>
          <w:szCs w:val="22"/>
          <w:lang w:eastAsia="fr-FR"/>
        </w:rPr>
        <w:t xml:space="preserve"> </w:t>
      </w:r>
      <w:r w:rsidRPr="000E5A31">
        <w:rPr>
          <w:rFonts w:eastAsia="Cambria" w:cs="Arial"/>
          <w:bCs/>
          <w:szCs w:val="22"/>
          <w:lang w:eastAsia="fr-FR"/>
        </w:rPr>
        <w:t>U</w:t>
      </w:r>
      <w:r w:rsidRPr="000E5A31">
        <w:rPr>
          <w:rFonts w:eastAsia="Cambria" w:cs="Arial"/>
          <w:bCs/>
          <w:szCs w:val="22"/>
          <w:lang w:eastAsia="fr-FR"/>
        </w:rPr>
        <w:t>n</w:t>
      </w:r>
      <w:r w:rsidRPr="000E5A31">
        <w:rPr>
          <w:rFonts w:eastAsia="Cambria" w:cs="Arial"/>
          <w:bCs/>
          <w:szCs w:val="22"/>
          <w:lang w:eastAsia="fr-FR"/>
        </w:rPr>
        <w:t>ternehmen sowie aus spezialisierten Consulting-Betrieben. Das Interesse überstieg die E</w:t>
      </w:r>
      <w:r w:rsidRPr="000E5A31">
        <w:rPr>
          <w:rFonts w:eastAsia="Cambria" w:cs="Arial"/>
          <w:bCs/>
          <w:szCs w:val="22"/>
          <w:lang w:eastAsia="fr-FR"/>
        </w:rPr>
        <w:t>r</w:t>
      </w:r>
      <w:r w:rsidRPr="000E5A31">
        <w:rPr>
          <w:rFonts w:eastAsia="Cambria" w:cs="Arial"/>
          <w:bCs/>
          <w:szCs w:val="22"/>
          <w:lang w:eastAsia="fr-FR"/>
        </w:rPr>
        <w:t>wartungen bei weitem. Im Ergebnis liegt nun ein spezielles Fortbildungsprogr</w:t>
      </w:r>
      <w:r w:rsidR="00737875" w:rsidRPr="000E5A31">
        <w:rPr>
          <w:rFonts w:eastAsia="Cambria" w:cs="Arial"/>
          <w:bCs/>
          <w:szCs w:val="22"/>
          <w:lang w:eastAsia="fr-FR"/>
        </w:rPr>
        <w:t>a</w:t>
      </w:r>
      <w:r w:rsidRPr="000E5A31">
        <w:rPr>
          <w:rFonts w:eastAsia="Cambria" w:cs="Arial"/>
          <w:bCs/>
          <w:szCs w:val="22"/>
          <w:lang w:eastAsia="fr-FR"/>
        </w:rPr>
        <w:t xml:space="preserve">mm vor, das RENAC (aufbauend auf </w:t>
      </w:r>
      <w:r w:rsidR="00737875" w:rsidRPr="000E5A31">
        <w:rPr>
          <w:rFonts w:eastAsia="Cambria" w:cs="Arial"/>
          <w:bCs/>
          <w:szCs w:val="22"/>
          <w:lang w:eastAsia="fr-FR"/>
        </w:rPr>
        <w:t>Vorbildern und Erfolgsmodellen aus anderen Weltregionen)</w:t>
      </w:r>
      <w:r w:rsidRPr="000E5A31">
        <w:rPr>
          <w:rFonts w:eastAsia="Cambria" w:cs="Arial"/>
          <w:bCs/>
          <w:szCs w:val="22"/>
          <w:lang w:eastAsia="fr-FR"/>
        </w:rPr>
        <w:t xml:space="preserve"> </w:t>
      </w:r>
      <w:r w:rsidR="00737875" w:rsidRPr="000E5A31">
        <w:rPr>
          <w:rFonts w:eastAsia="Cambria" w:cs="Arial"/>
          <w:bCs/>
          <w:szCs w:val="22"/>
          <w:lang w:eastAsia="fr-FR"/>
        </w:rPr>
        <w:t>ins Französische übertragen und für den Bedürfnisse der Region angepasst hatte.</w:t>
      </w:r>
    </w:p>
    <w:p w:rsidR="00B6052F" w:rsidRPr="000E5A31" w:rsidRDefault="00737875" w:rsidP="00B6052F">
      <w:pPr>
        <w:spacing w:after="120"/>
        <w:rPr>
          <w:rFonts w:eastAsia="Calibri" w:cs="Arial"/>
          <w:szCs w:val="22"/>
          <w:lang w:eastAsia="en-US"/>
        </w:rPr>
      </w:pPr>
      <w:r w:rsidRPr="000E5A31">
        <w:rPr>
          <w:rFonts w:eastAsia="Cambria" w:cs="Arial"/>
          <w:bCs/>
          <w:szCs w:val="22"/>
          <w:lang w:eastAsia="fr-FR"/>
        </w:rPr>
        <w:t>Dieser Ansatz sollte im Rahmen einer gleichnamigen Fortbildung fortgeführt werden, welche RE-ACTIVTE g</w:t>
      </w:r>
      <w:r w:rsidR="00B6052F" w:rsidRPr="000E5A31">
        <w:rPr>
          <w:rFonts w:eastAsia="Cambria" w:cs="Arial"/>
          <w:bCs/>
          <w:szCs w:val="22"/>
          <w:lang w:eastAsia="fr-FR"/>
        </w:rPr>
        <w:t>emein</w:t>
      </w:r>
      <w:r w:rsidRPr="000E5A31">
        <w:rPr>
          <w:rFonts w:eastAsia="Cambria" w:cs="Arial"/>
          <w:bCs/>
          <w:szCs w:val="22"/>
          <w:lang w:eastAsia="fr-FR"/>
        </w:rPr>
        <w:t>sam</w:t>
      </w:r>
      <w:r w:rsidR="00B6052F" w:rsidRPr="000E5A31">
        <w:rPr>
          <w:rFonts w:eastAsia="Cambria" w:cs="Arial"/>
          <w:bCs/>
          <w:szCs w:val="22"/>
          <w:lang w:eastAsia="fr-FR"/>
        </w:rPr>
        <w:t xml:space="preserve"> mit </w:t>
      </w:r>
      <w:r w:rsidRPr="000E5A31">
        <w:rPr>
          <w:rFonts w:eastAsia="Cambria" w:cs="Arial"/>
          <w:bCs/>
          <w:szCs w:val="22"/>
          <w:lang w:eastAsia="fr-FR"/>
        </w:rPr>
        <w:t xml:space="preserve">dem </w:t>
      </w:r>
      <w:r w:rsidR="00B6052F" w:rsidRPr="000E5A31">
        <w:rPr>
          <w:rFonts w:eastAsia="Cambria" w:cs="Arial"/>
          <w:bCs/>
          <w:szCs w:val="22"/>
          <w:lang w:eastAsia="fr-FR"/>
        </w:rPr>
        <w:t xml:space="preserve">EMC Cluster </w:t>
      </w:r>
      <w:r w:rsidRPr="000E5A31">
        <w:rPr>
          <w:rFonts w:eastAsia="Cambria" w:cs="Arial"/>
          <w:bCs/>
          <w:szCs w:val="22"/>
          <w:lang w:eastAsia="fr-FR"/>
        </w:rPr>
        <w:t xml:space="preserve">und </w:t>
      </w:r>
      <w:r w:rsidR="00B6052F" w:rsidRPr="000E5A31">
        <w:rPr>
          <w:rFonts w:eastAsia="Cambria" w:cs="Arial"/>
          <w:bCs/>
          <w:szCs w:val="22"/>
          <w:lang w:eastAsia="fr-FR"/>
        </w:rPr>
        <w:t>RENAC im Juni 2015 in Settat</w:t>
      </w:r>
      <w:r w:rsidRPr="000E5A31">
        <w:rPr>
          <w:rFonts w:eastAsia="Cambria" w:cs="Arial"/>
          <w:bCs/>
          <w:szCs w:val="22"/>
          <w:lang w:eastAsia="fr-FR"/>
        </w:rPr>
        <w:t xml:space="preserve">/Marokko </w:t>
      </w:r>
      <w:r w:rsidRPr="000E5A31">
        <w:rPr>
          <w:rFonts w:eastAsia="Cambria" w:cs="Arial"/>
          <w:bCs/>
          <w:szCs w:val="22"/>
          <w:lang w:eastAsia="fr-FR"/>
        </w:rPr>
        <w:lastRenderedPageBreak/>
        <w:t>durchführen wollten. Leider musste die Maßnahmen aus Ermangelung geeigneter franz</w:t>
      </w:r>
      <w:r w:rsidRPr="000E5A31">
        <w:rPr>
          <w:rFonts w:eastAsia="Cambria" w:cs="Arial"/>
          <w:bCs/>
          <w:szCs w:val="22"/>
          <w:lang w:eastAsia="fr-FR"/>
        </w:rPr>
        <w:t>ö</w:t>
      </w:r>
      <w:r w:rsidRPr="000E5A31">
        <w:rPr>
          <w:rFonts w:eastAsia="Cambria" w:cs="Arial"/>
          <w:bCs/>
          <w:szCs w:val="22"/>
          <w:lang w:eastAsia="fr-FR"/>
        </w:rPr>
        <w:t xml:space="preserve">sisch-sprachiger </w:t>
      </w:r>
      <w:r w:rsidR="00714B11" w:rsidRPr="000E5A31">
        <w:rPr>
          <w:rFonts w:eastAsia="Cambria" w:cs="Arial"/>
          <w:bCs/>
          <w:szCs w:val="22"/>
          <w:lang w:eastAsia="fr-FR"/>
        </w:rPr>
        <w:t>Trainer</w:t>
      </w:r>
      <w:r w:rsidRPr="000E5A31">
        <w:rPr>
          <w:rFonts w:eastAsia="Cambria" w:cs="Arial"/>
          <w:bCs/>
          <w:szCs w:val="22"/>
          <w:lang w:eastAsia="fr-FR"/>
        </w:rPr>
        <w:t xml:space="preserve"> auf die Zeit nach der </w:t>
      </w:r>
      <w:r w:rsidR="00714B11" w:rsidRPr="000E5A31">
        <w:rPr>
          <w:rFonts w:eastAsia="Cambria" w:cs="Arial"/>
          <w:bCs/>
          <w:szCs w:val="22"/>
          <w:lang w:eastAsia="fr-FR"/>
        </w:rPr>
        <w:t>Sommerpause</w:t>
      </w:r>
      <w:r w:rsidRPr="000E5A31">
        <w:rPr>
          <w:rFonts w:eastAsia="Cambria" w:cs="Arial"/>
          <w:bCs/>
          <w:szCs w:val="22"/>
          <w:lang w:eastAsia="fr-FR"/>
        </w:rPr>
        <w:t xml:space="preserve"> verschoben werden. </w:t>
      </w:r>
      <w:r w:rsidR="000E5A31" w:rsidRPr="000E5A31">
        <w:rPr>
          <w:rFonts w:eastAsia="Cambria" w:cs="Arial"/>
          <w:bCs/>
          <w:szCs w:val="22"/>
          <w:lang w:eastAsia="fr-FR"/>
        </w:rPr>
        <w:t>Dieses</w:t>
      </w:r>
      <w:r w:rsidRPr="000E5A31">
        <w:rPr>
          <w:rFonts w:eastAsia="Cambria" w:cs="Arial"/>
          <w:bCs/>
          <w:szCs w:val="22"/>
          <w:lang w:eastAsia="fr-FR"/>
        </w:rPr>
        <w:t xml:space="preserve"> Grundproblem (eklatanter Mangel französisch-sprachiger Experten im </w:t>
      </w:r>
      <w:r w:rsidR="00714B11" w:rsidRPr="000E5A31">
        <w:rPr>
          <w:rFonts w:eastAsia="Cambria" w:cs="Arial"/>
          <w:bCs/>
          <w:szCs w:val="22"/>
          <w:lang w:eastAsia="fr-FR"/>
        </w:rPr>
        <w:t>deutschen</w:t>
      </w:r>
      <w:r w:rsidRPr="000E5A31">
        <w:rPr>
          <w:rFonts w:eastAsia="Cambria" w:cs="Arial"/>
          <w:bCs/>
          <w:szCs w:val="22"/>
          <w:lang w:eastAsia="fr-FR"/>
        </w:rPr>
        <w:t xml:space="preserve"> Raum) soll dadurch gelöst werden, indem gezielt Dreieckskooperationen mit französ</w:t>
      </w:r>
      <w:r w:rsidR="00714B11" w:rsidRPr="000E5A31">
        <w:rPr>
          <w:rFonts w:eastAsia="Cambria" w:cs="Arial"/>
          <w:bCs/>
          <w:szCs w:val="22"/>
          <w:lang w:eastAsia="fr-FR"/>
        </w:rPr>
        <w:t>is</w:t>
      </w:r>
      <w:r w:rsidRPr="000E5A31">
        <w:rPr>
          <w:rFonts w:eastAsia="Cambria" w:cs="Arial"/>
          <w:bCs/>
          <w:szCs w:val="22"/>
          <w:lang w:eastAsia="fr-FR"/>
        </w:rPr>
        <w:t>chen Partnero</w:t>
      </w:r>
      <w:r w:rsidRPr="000E5A31">
        <w:rPr>
          <w:rFonts w:eastAsia="Cambria" w:cs="Arial"/>
          <w:bCs/>
          <w:szCs w:val="22"/>
          <w:lang w:eastAsia="fr-FR"/>
        </w:rPr>
        <w:t>r</w:t>
      </w:r>
      <w:r w:rsidRPr="000E5A31">
        <w:rPr>
          <w:rFonts w:eastAsia="Cambria" w:cs="Arial"/>
          <w:bCs/>
          <w:szCs w:val="22"/>
          <w:lang w:eastAsia="fr-FR"/>
        </w:rPr>
        <w:t xml:space="preserve">ganisationen (wie der staatlichen Energieagentur ADEME sowie dem </w:t>
      </w:r>
      <w:r w:rsidR="00714B11" w:rsidRPr="000E5A31">
        <w:rPr>
          <w:rFonts w:eastAsia="Cambria" w:cs="Arial"/>
          <w:bCs/>
          <w:szCs w:val="22"/>
          <w:lang w:eastAsia="fr-FR"/>
        </w:rPr>
        <w:t>ebenfalls</w:t>
      </w:r>
      <w:r w:rsidRPr="000E5A31">
        <w:rPr>
          <w:rFonts w:eastAsia="Cambria" w:cs="Arial"/>
          <w:bCs/>
          <w:szCs w:val="22"/>
          <w:lang w:eastAsia="fr-FR"/>
        </w:rPr>
        <w:t xml:space="preserve"> staatlichen Solaren Forschungs- und Ausbildungszentrum INES</w:t>
      </w:r>
      <w:r w:rsidR="00B6052F" w:rsidRPr="000E5A31">
        <w:rPr>
          <w:rFonts w:eastAsia="Cambria" w:cs="Arial"/>
          <w:bCs/>
          <w:szCs w:val="22"/>
          <w:lang w:eastAsia="fr-FR"/>
        </w:rPr>
        <w:t>)</w:t>
      </w:r>
      <w:r w:rsidRPr="000E5A31">
        <w:rPr>
          <w:rFonts w:eastAsia="Cambria" w:cs="Arial"/>
          <w:bCs/>
          <w:szCs w:val="22"/>
          <w:lang w:eastAsia="fr-FR"/>
        </w:rPr>
        <w:t xml:space="preserve"> </w:t>
      </w:r>
      <w:r w:rsidR="00714B11" w:rsidRPr="000E5A31">
        <w:rPr>
          <w:rFonts w:eastAsia="Cambria" w:cs="Arial"/>
          <w:bCs/>
          <w:szCs w:val="22"/>
          <w:lang w:eastAsia="fr-FR"/>
        </w:rPr>
        <w:t>entwickelt</w:t>
      </w:r>
      <w:r w:rsidRPr="000E5A31">
        <w:rPr>
          <w:rFonts w:eastAsia="Cambria" w:cs="Arial"/>
          <w:bCs/>
          <w:szCs w:val="22"/>
          <w:lang w:eastAsia="fr-FR"/>
        </w:rPr>
        <w:t xml:space="preserve"> werden</w:t>
      </w:r>
      <w:r w:rsidR="00B6052F" w:rsidRPr="000E5A31">
        <w:rPr>
          <w:rFonts w:eastAsia="Cambria" w:cs="Arial"/>
          <w:bCs/>
          <w:szCs w:val="22"/>
          <w:lang w:eastAsia="fr-FR"/>
        </w:rPr>
        <w:t>.</w:t>
      </w:r>
    </w:p>
    <w:p w:rsidR="0086485D" w:rsidRPr="000E5A31" w:rsidRDefault="00FE2CA3" w:rsidP="0086485D">
      <w:pPr>
        <w:spacing w:after="120"/>
        <w:rPr>
          <w:rFonts w:eastAsia="Calibri" w:cs="Arial"/>
          <w:szCs w:val="22"/>
          <w:lang w:eastAsia="en-US"/>
        </w:rPr>
      </w:pPr>
      <w:r w:rsidRPr="000E5A31">
        <w:rPr>
          <w:rFonts w:eastAsia="Calibri" w:cs="Arial"/>
          <w:szCs w:val="22"/>
          <w:lang w:eastAsia="en-US"/>
        </w:rPr>
        <w:t>Ein grundlegendes Problem für eine flächendeckende Nutzung von RE/EE in MENA – ger</w:t>
      </w:r>
      <w:r w:rsidRPr="000E5A31">
        <w:rPr>
          <w:rFonts w:eastAsia="Calibri" w:cs="Arial"/>
          <w:szCs w:val="22"/>
          <w:lang w:eastAsia="en-US"/>
        </w:rPr>
        <w:t>a</w:t>
      </w:r>
      <w:r w:rsidRPr="000E5A31">
        <w:rPr>
          <w:rFonts w:eastAsia="Calibri" w:cs="Arial"/>
          <w:szCs w:val="22"/>
          <w:lang w:eastAsia="en-US"/>
        </w:rPr>
        <w:t>de auch mit Hilfe dezentraler Anwendungen und unter maximaler Einbindung der lokalen Bevölkerung – ist d</w:t>
      </w:r>
      <w:r w:rsidR="00B34F68" w:rsidRPr="000E5A31">
        <w:rPr>
          <w:rFonts w:eastAsia="Calibri" w:cs="Arial"/>
          <w:szCs w:val="22"/>
          <w:lang w:eastAsia="en-US"/>
        </w:rPr>
        <w:t>as weit</w:t>
      </w:r>
      <w:r w:rsidRPr="000E5A31">
        <w:rPr>
          <w:rFonts w:eastAsia="Calibri" w:cs="Arial"/>
          <w:szCs w:val="22"/>
          <w:lang w:eastAsia="en-US"/>
        </w:rPr>
        <w:t>gehende Fehlen der erforderlichen Humanressourcen, was auch auf weitreichende Qualitätsde</w:t>
      </w:r>
      <w:r w:rsidR="00714B11" w:rsidRPr="000E5A31">
        <w:rPr>
          <w:rFonts w:eastAsia="Calibri" w:cs="Arial"/>
          <w:szCs w:val="22"/>
          <w:lang w:eastAsia="en-US"/>
        </w:rPr>
        <w:t>fi</w:t>
      </w:r>
      <w:r w:rsidRPr="000E5A31">
        <w:rPr>
          <w:rFonts w:eastAsia="Calibri" w:cs="Arial"/>
          <w:szCs w:val="22"/>
          <w:lang w:eastAsia="en-US"/>
        </w:rPr>
        <w:t>zite der jeweiligen Bildungssysteme zurückzuführen ist.</w:t>
      </w:r>
    </w:p>
    <w:p w:rsidR="0086485D" w:rsidRPr="000E5A31" w:rsidRDefault="00B34F68" w:rsidP="00FE2CA3">
      <w:pPr>
        <w:spacing w:after="120"/>
        <w:rPr>
          <w:rFonts w:eastAsia="Calibri" w:cs="Arial"/>
          <w:szCs w:val="22"/>
          <w:u w:val="single"/>
          <w:lang w:eastAsia="en-US"/>
        </w:rPr>
      </w:pPr>
      <w:r w:rsidRPr="000E5A31">
        <w:rPr>
          <w:rFonts w:eastAsia="Calibri" w:cs="Arial"/>
          <w:szCs w:val="22"/>
          <w:lang w:eastAsia="en-US"/>
        </w:rPr>
        <w:t xml:space="preserve">Ein zentrales Handlungsfeld des Vorhabens besteht daher in der </w:t>
      </w:r>
      <w:r w:rsidR="0086485D" w:rsidRPr="000E5A31">
        <w:rPr>
          <w:rFonts w:eastAsia="Calibri" w:cs="Arial"/>
          <w:szCs w:val="22"/>
          <w:lang w:eastAsia="en-US"/>
        </w:rPr>
        <w:t xml:space="preserve">Entwicklung, Verbreitung und Pilotumsetzung regionaler Qualitätsstandards </w:t>
      </w:r>
      <w:r w:rsidR="007A16D7" w:rsidRPr="000E5A31">
        <w:rPr>
          <w:rFonts w:eastAsia="Calibri" w:cs="Arial"/>
          <w:szCs w:val="22"/>
          <w:lang w:eastAsia="en-US"/>
        </w:rPr>
        <w:t>und</w:t>
      </w:r>
      <w:r w:rsidR="0086485D" w:rsidRPr="000E5A31">
        <w:rPr>
          <w:rFonts w:eastAsia="Calibri" w:cs="Arial"/>
          <w:szCs w:val="22"/>
          <w:lang w:eastAsia="en-US"/>
        </w:rPr>
        <w:t xml:space="preserve"> –sicherungssysteme für RE/EE Aus- </w:t>
      </w:r>
      <w:r w:rsidR="007A16D7" w:rsidRPr="000E5A31">
        <w:rPr>
          <w:rFonts w:eastAsia="Calibri" w:cs="Arial"/>
          <w:szCs w:val="22"/>
          <w:lang w:eastAsia="en-US"/>
        </w:rPr>
        <w:t>und</w:t>
      </w:r>
      <w:r w:rsidR="0086485D" w:rsidRPr="000E5A31">
        <w:rPr>
          <w:rFonts w:eastAsia="Calibri" w:cs="Arial"/>
          <w:szCs w:val="22"/>
          <w:lang w:eastAsia="en-US"/>
        </w:rPr>
        <w:t xml:space="preserve"> Fortbildungen in MENA</w:t>
      </w:r>
      <w:r w:rsidRPr="000E5A31">
        <w:rPr>
          <w:rFonts w:eastAsia="Calibri" w:cs="Arial"/>
          <w:szCs w:val="22"/>
          <w:lang w:eastAsia="en-US"/>
        </w:rPr>
        <w:t xml:space="preserve"> in Zusammenarbeit mit RCREEE.</w:t>
      </w:r>
    </w:p>
    <w:p w:rsidR="00B34F68" w:rsidRPr="000E5A31" w:rsidRDefault="00B34F68" w:rsidP="007F49F8">
      <w:pPr>
        <w:spacing w:after="120"/>
        <w:rPr>
          <w:rFonts w:eastAsia="Calibri" w:cs="Arial"/>
          <w:szCs w:val="22"/>
          <w:lang w:eastAsia="en-US"/>
        </w:rPr>
      </w:pPr>
      <w:r w:rsidRPr="000E5A31">
        <w:rPr>
          <w:rFonts w:eastAsia="Cambria" w:cs="Arial"/>
          <w:bCs/>
          <w:szCs w:val="22"/>
          <w:lang w:eastAsia="fr-FR"/>
        </w:rPr>
        <w:t xml:space="preserve">Als Grundlage hierfür wurde im Auftrag von RE-ACTIVATE </w:t>
      </w:r>
      <w:r w:rsidR="0086485D" w:rsidRPr="000E5A31">
        <w:rPr>
          <w:rFonts w:eastAsia="Cambria" w:cs="Arial"/>
          <w:bCs/>
          <w:szCs w:val="22"/>
          <w:lang w:eastAsia="fr-FR"/>
        </w:rPr>
        <w:t xml:space="preserve">eine </w:t>
      </w:r>
      <w:r w:rsidRPr="000E5A31">
        <w:rPr>
          <w:rFonts w:eastAsia="Cambria" w:cs="Arial"/>
          <w:bCs/>
          <w:szCs w:val="22"/>
          <w:lang w:eastAsia="fr-FR"/>
        </w:rPr>
        <w:t xml:space="preserve">internationale Best Practice / </w:t>
      </w:r>
      <w:r w:rsidR="0086485D" w:rsidRPr="000E5A31">
        <w:rPr>
          <w:rFonts w:eastAsia="Cambria" w:cs="Arial"/>
          <w:bCs/>
          <w:szCs w:val="22"/>
          <w:lang w:eastAsia="fr-FR"/>
        </w:rPr>
        <w:t>Benchmarking Studie durch die Renewables Academy Berlin (RENAC) zum Thema „Inte</w:t>
      </w:r>
      <w:r w:rsidR="0086485D" w:rsidRPr="000E5A31">
        <w:rPr>
          <w:rFonts w:eastAsia="Cambria" w:cs="Arial"/>
          <w:bCs/>
          <w:szCs w:val="22"/>
          <w:lang w:eastAsia="fr-FR"/>
        </w:rPr>
        <w:t>r</w:t>
      </w:r>
      <w:r w:rsidR="0086485D" w:rsidRPr="000E5A31">
        <w:rPr>
          <w:rFonts w:eastAsia="Cambria" w:cs="Arial"/>
          <w:bCs/>
          <w:szCs w:val="22"/>
          <w:lang w:eastAsia="fr-FR"/>
        </w:rPr>
        <w:t xml:space="preserve">nationale </w:t>
      </w:r>
      <w:r w:rsidR="0086485D" w:rsidRPr="000E5A31">
        <w:rPr>
          <w:rFonts w:eastAsia="Calibri" w:cs="Arial"/>
          <w:szCs w:val="22"/>
          <w:lang w:eastAsia="en-US"/>
        </w:rPr>
        <w:t xml:space="preserve">Qualitätsstandards </w:t>
      </w:r>
      <w:r w:rsidR="007A16D7" w:rsidRPr="000E5A31">
        <w:rPr>
          <w:rFonts w:eastAsia="Calibri" w:cs="Arial"/>
          <w:szCs w:val="22"/>
          <w:lang w:eastAsia="en-US"/>
        </w:rPr>
        <w:t>und</w:t>
      </w:r>
      <w:r w:rsidR="0086485D" w:rsidRPr="000E5A31">
        <w:rPr>
          <w:rFonts w:eastAsia="Calibri" w:cs="Arial"/>
          <w:szCs w:val="22"/>
          <w:lang w:eastAsia="en-US"/>
        </w:rPr>
        <w:t xml:space="preserve"> Qualitätssicherungssysteme für RE/EE Aus- </w:t>
      </w:r>
      <w:r w:rsidR="007A16D7" w:rsidRPr="000E5A31">
        <w:rPr>
          <w:rFonts w:eastAsia="Calibri" w:cs="Arial"/>
          <w:szCs w:val="22"/>
          <w:lang w:eastAsia="en-US"/>
        </w:rPr>
        <w:t>und</w:t>
      </w:r>
      <w:r w:rsidR="0086485D" w:rsidRPr="000E5A31">
        <w:rPr>
          <w:rFonts w:eastAsia="Calibri" w:cs="Arial"/>
          <w:szCs w:val="22"/>
          <w:lang w:eastAsia="en-US"/>
        </w:rPr>
        <w:t xml:space="preserve"> Weiterbi</w:t>
      </w:r>
      <w:r w:rsidR="0086485D" w:rsidRPr="000E5A31">
        <w:rPr>
          <w:rFonts w:eastAsia="Calibri" w:cs="Arial"/>
          <w:szCs w:val="22"/>
          <w:lang w:eastAsia="en-US"/>
        </w:rPr>
        <w:t>l</w:t>
      </w:r>
      <w:r w:rsidR="0086485D" w:rsidRPr="000E5A31">
        <w:rPr>
          <w:rFonts w:eastAsia="Calibri" w:cs="Arial"/>
          <w:szCs w:val="22"/>
          <w:lang w:eastAsia="en-US"/>
        </w:rPr>
        <w:t>dungen“</w:t>
      </w:r>
      <w:r w:rsidRPr="000E5A31">
        <w:rPr>
          <w:rFonts w:eastAsia="Calibri" w:cs="Arial"/>
          <w:szCs w:val="22"/>
          <w:lang w:eastAsia="en-US"/>
        </w:rPr>
        <w:t xml:space="preserve"> durchgeführt, während </w:t>
      </w:r>
      <w:r w:rsidR="0086485D" w:rsidRPr="000E5A31">
        <w:rPr>
          <w:rFonts w:eastAsia="Calibri" w:cs="Arial"/>
          <w:szCs w:val="22"/>
          <w:lang w:eastAsia="en-US"/>
        </w:rPr>
        <w:t xml:space="preserve">RCREEE </w:t>
      </w:r>
      <w:r w:rsidRPr="000E5A31">
        <w:rPr>
          <w:rFonts w:eastAsia="Calibri" w:cs="Arial"/>
          <w:szCs w:val="22"/>
          <w:lang w:eastAsia="en-US"/>
        </w:rPr>
        <w:t xml:space="preserve">parallel hierzu eine Studie </w:t>
      </w:r>
      <w:r w:rsidR="0086485D" w:rsidRPr="000E5A31">
        <w:rPr>
          <w:rFonts w:eastAsia="Calibri" w:cs="Arial"/>
          <w:szCs w:val="22"/>
          <w:lang w:eastAsia="en-US"/>
        </w:rPr>
        <w:t>zum Thema „Bestand</w:t>
      </w:r>
      <w:r w:rsidR="0086485D" w:rsidRPr="000E5A31">
        <w:rPr>
          <w:rFonts w:eastAsia="Calibri" w:cs="Arial"/>
          <w:szCs w:val="22"/>
          <w:lang w:eastAsia="en-US"/>
        </w:rPr>
        <w:t>s</w:t>
      </w:r>
      <w:r w:rsidR="0086485D" w:rsidRPr="000E5A31">
        <w:rPr>
          <w:rFonts w:eastAsia="Calibri" w:cs="Arial"/>
          <w:szCs w:val="22"/>
          <w:lang w:eastAsia="en-US"/>
        </w:rPr>
        <w:t>aufnahme von Prozessen und Potentialen im RE/EE Aus- und Fortbildungsbereich in MENA“</w:t>
      </w:r>
      <w:r w:rsidRPr="000E5A31">
        <w:rPr>
          <w:rFonts w:eastAsia="Calibri" w:cs="Arial"/>
          <w:szCs w:val="22"/>
          <w:lang w:eastAsia="en-US"/>
        </w:rPr>
        <w:t xml:space="preserve"> durchführte</w:t>
      </w:r>
      <w:r w:rsidR="0086485D" w:rsidRPr="000E5A31">
        <w:rPr>
          <w:rFonts w:eastAsia="Calibri" w:cs="Arial"/>
          <w:szCs w:val="22"/>
          <w:lang w:eastAsia="en-US"/>
        </w:rPr>
        <w:t>.</w:t>
      </w:r>
      <w:r w:rsidRPr="000E5A31">
        <w:rPr>
          <w:rFonts w:eastAsia="Calibri" w:cs="Arial"/>
          <w:szCs w:val="22"/>
          <w:lang w:eastAsia="en-US"/>
        </w:rPr>
        <w:t xml:space="preserve"> Beide Studien wurden am 02.06.2015 im Rahmen eines regionalen Stakeholder Workshops in Kairo unter Beteiligung zahlreicher Vertreter arabischer Länder präsentiert.</w:t>
      </w:r>
    </w:p>
    <w:p w:rsidR="0086485D" w:rsidRPr="000E5A31" w:rsidRDefault="00B34F68" w:rsidP="007F49F8">
      <w:pPr>
        <w:spacing w:after="120"/>
        <w:rPr>
          <w:rFonts w:eastAsia="Calibri" w:cs="Arial"/>
          <w:szCs w:val="22"/>
          <w:lang w:eastAsia="en-US"/>
        </w:rPr>
      </w:pPr>
      <w:r w:rsidRPr="000E5A31">
        <w:rPr>
          <w:rFonts w:eastAsia="Calibri" w:cs="Arial"/>
          <w:szCs w:val="22"/>
          <w:lang w:eastAsia="en-US"/>
        </w:rPr>
        <w:t xml:space="preserve">Ziel der Zusammenarbeit zwischen RE-ACTIVATE und RCREEE in diesem Bereich ist die Identifizierung von </w:t>
      </w:r>
      <w:r w:rsidR="00714B11" w:rsidRPr="000E5A31">
        <w:rPr>
          <w:rFonts w:eastAsia="Calibri" w:cs="Arial"/>
          <w:szCs w:val="22"/>
          <w:lang w:eastAsia="en-US"/>
        </w:rPr>
        <w:t>Anknüpfungspunkten</w:t>
      </w:r>
      <w:r w:rsidRPr="000E5A31">
        <w:rPr>
          <w:rFonts w:eastAsia="Calibri" w:cs="Arial"/>
          <w:szCs w:val="22"/>
          <w:lang w:eastAsia="en-US"/>
        </w:rPr>
        <w:t xml:space="preserve"> und Kooperationspotentialen zwischen beteiligten Ländern und Akteuren zwecks </w:t>
      </w:r>
      <w:r w:rsidR="0086485D" w:rsidRPr="000E5A31">
        <w:rPr>
          <w:rFonts w:eastAsia="Calibri" w:cs="Arial"/>
          <w:szCs w:val="22"/>
          <w:lang w:eastAsia="en-US"/>
        </w:rPr>
        <w:t>Unterstützung der gegenwärtigen Standardisierungs- und Harmonisierungsbemühungen vieler MENA Länder im RE/EE Bildungsbereich.</w:t>
      </w:r>
    </w:p>
    <w:p w:rsidR="0086485D" w:rsidRPr="000E5A31" w:rsidRDefault="00B34F68" w:rsidP="007F49F8">
      <w:pPr>
        <w:spacing w:after="120"/>
        <w:rPr>
          <w:rFonts w:eastAsia="Calibri" w:cs="Arial"/>
          <w:szCs w:val="22"/>
          <w:lang w:eastAsia="en-US"/>
        </w:rPr>
      </w:pPr>
      <w:r w:rsidRPr="000E5A31">
        <w:rPr>
          <w:rFonts w:eastAsia="Calibri" w:cs="Arial"/>
          <w:szCs w:val="22"/>
          <w:lang w:eastAsia="en-US"/>
        </w:rPr>
        <w:t xml:space="preserve">Dazu wurde in Kairo ein </w:t>
      </w:r>
      <w:r w:rsidR="00714B11" w:rsidRPr="000E5A31">
        <w:rPr>
          <w:rFonts w:eastAsia="Calibri" w:cs="Arial"/>
          <w:szCs w:val="22"/>
          <w:lang w:eastAsia="en-US"/>
        </w:rPr>
        <w:t>Aktionsplan</w:t>
      </w:r>
      <w:r w:rsidRPr="000E5A31">
        <w:rPr>
          <w:rFonts w:eastAsia="Calibri" w:cs="Arial"/>
          <w:szCs w:val="22"/>
          <w:lang w:eastAsia="en-US"/>
        </w:rPr>
        <w:t xml:space="preserve"> vereinbart, der</w:t>
      </w:r>
      <w:r w:rsidR="0068541B" w:rsidRPr="000E5A31">
        <w:rPr>
          <w:rFonts w:eastAsia="Calibri" w:cs="Arial"/>
          <w:szCs w:val="22"/>
          <w:lang w:eastAsia="en-US"/>
        </w:rPr>
        <w:t xml:space="preserve"> </w:t>
      </w:r>
      <w:r w:rsidRPr="000E5A31">
        <w:rPr>
          <w:rFonts w:eastAsia="Calibri" w:cs="Arial"/>
          <w:szCs w:val="22"/>
          <w:lang w:eastAsia="en-US"/>
        </w:rPr>
        <w:t>im La</w:t>
      </w:r>
      <w:r w:rsidR="0068541B" w:rsidRPr="000E5A31">
        <w:rPr>
          <w:rFonts w:eastAsia="Calibri" w:cs="Arial"/>
          <w:szCs w:val="22"/>
          <w:lang w:eastAsia="en-US"/>
        </w:rPr>
        <w:t>u</w:t>
      </w:r>
      <w:r w:rsidRPr="000E5A31">
        <w:rPr>
          <w:rFonts w:eastAsia="Calibri" w:cs="Arial"/>
          <w:szCs w:val="22"/>
          <w:lang w:eastAsia="en-US"/>
        </w:rPr>
        <w:t xml:space="preserve">fe der nächsten Jahre umgesetzt werden soll: </w:t>
      </w:r>
      <w:r w:rsidR="0068541B" w:rsidRPr="000E5A31">
        <w:rPr>
          <w:rFonts w:eastAsia="Calibri" w:cs="Arial"/>
          <w:szCs w:val="22"/>
          <w:lang w:eastAsia="en-US"/>
        </w:rPr>
        <w:t xml:space="preserve">Hierzu gehört der </w:t>
      </w:r>
      <w:r w:rsidR="0086485D" w:rsidRPr="000E5A31">
        <w:rPr>
          <w:rFonts w:eastAsia="Calibri" w:cs="Arial"/>
          <w:szCs w:val="22"/>
          <w:lang w:eastAsia="en-US"/>
        </w:rPr>
        <w:t xml:space="preserve">Aufbau einer </w:t>
      </w:r>
      <w:r w:rsidR="00C03506">
        <w:rPr>
          <w:rFonts w:eastAsia="Calibri" w:cs="Arial"/>
          <w:szCs w:val="22"/>
          <w:lang w:eastAsia="en-US"/>
        </w:rPr>
        <w:t>r</w:t>
      </w:r>
      <w:r w:rsidR="0068541B" w:rsidRPr="000E5A31">
        <w:rPr>
          <w:rFonts w:eastAsia="Calibri" w:cs="Arial"/>
          <w:szCs w:val="22"/>
          <w:lang w:eastAsia="en-US"/>
        </w:rPr>
        <w:t xml:space="preserve">egionalen </w:t>
      </w:r>
      <w:r w:rsidR="0086485D" w:rsidRPr="000E5A31">
        <w:rPr>
          <w:rFonts w:eastAsia="Calibri" w:cs="Arial"/>
          <w:szCs w:val="22"/>
          <w:lang w:eastAsia="en-US"/>
        </w:rPr>
        <w:t>Online-Datenbank zu Standards, Ve</w:t>
      </w:r>
      <w:r w:rsidR="0086485D" w:rsidRPr="000E5A31">
        <w:rPr>
          <w:rFonts w:eastAsia="Calibri" w:cs="Arial"/>
          <w:szCs w:val="22"/>
          <w:lang w:eastAsia="en-US"/>
        </w:rPr>
        <w:t>r</w:t>
      </w:r>
      <w:r w:rsidR="0086485D" w:rsidRPr="000E5A31">
        <w:rPr>
          <w:rFonts w:eastAsia="Calibri" w:cs="Arial"/>
          <w:szCs w:val="22"/>
          <w:lang w:eastAsia="en-US"/>
        </w:rPr>
        <w:t xml:space="preserve">fahren, Prozessen und Akteuren im Bereich RE/EE Aus- und Weiterbildung </w:t>
      </w:r>
      <w:r w:rsidR="0068541B" w:rsidRPr="000E5A31">
        <w:rPr>
          <w:rFonts w:eastAsia="Calibri" w:cs="Arial"/>
          <w:szCs w:val="22"/>
          <w:lang w:eastAsia="en-US"/>
        </w:rPr>
        <w:t>im MENA Raum sowie der Aufbau eine</w:t>
      </w:r>
      <w:r w:rsidR="00C03506">
        <w:rPr>
          <w:rFonts w:eastAsia="Calibri" w:cs="Arial"/>
          <w:szCs w:val="22"/>
          <w:lang w:eastAsia="en-US"/>
        </w:rPr>
        <w:t>r</w:t>
      </w:r>
      <w:r w:rsidR="0068541B" w:rsidRPr="000E5A31">
        <w:rPr>
          <w:rFonts w:eastAsia="Calibri" w:cs="Arial"/>
          <w:szCs w:val="22"/>
          <w:lang w:eastAsia="en-US"/>
        </w:rPr>
        <w:t xml:space="preserve"> </w:t>
      </w:r>
      <w:r w:rsidR="00C03506">
        <w:rPr>
          <w:rFonts w:eastAsia="Calibri" w:cs="Arial"/>
          <w:szCs w:val="22"/>
          <w:lang w:eastAsia="en-US"/>
        </w:rPr>
        <w:t>r</w:t>
      </w:r>
      <w:r w:rsidR="0068541B" w:rsidRPr="000E5A31">
        <w:rPr>
          <w:rFonts w:eastAsia="Calibri" w:cs="Arial"/>
          <w:szCs w:val="22"/>
          <w:lang w:eastAsia="en-US"/>
        </w:rPr>
        <w:t>egionalen Online-Plattform für Trainer. Hierzu gehört auch</w:t>
      </w:r>
      <w:r w:rsidR="0086485D" w:rsidRPr="000E5A31">
        <w:rPr>
          <w:rFonts w:eastAsia="Calibri" w:cs="Arial"/>
          <w:szCs w:val="22"/>
          <w:lang w:eastAsia="en-US"/>
        </w:rPr>
        <w:t xml:space="preserve"> </w:t>
      </w:r>
      <w:r w:rsidR="0068541B" w:rsidRPr="000E5A31">
        <w:rPr>
          <w:rFonts w:eastAsia="Calibri" w:cs="Arial"/>
          <w:szCs w:val="22"/>
          <w:lang w:eastAsia="en-US"/>
        </w:rPr>
        <w:t xml:space="preserve">die </w:t>
      </w:r>
      <w:r w:rsidR="0086485D" w:rsidRPr="000E5A31">
        <w:rPr>
          <w:rFonts w:eastAsia="Calibri" w:cs="Arial"/>
          <w:szCs w:val="22"/>
          <w:lang w:eastAsia="en-US"/>
        </w:rPr>
        <w:t>En</w:t>
      </w:r>
      <w:r w:rsidR="0086485D" w:rsidRPr="000E5A31">
        <w:rPr>
          <w:rFonts w:eastAsia="Calibri" w:cs="Arial"/>
          <w:szCs w:val="22"/>
          <w:lang w:eastAsia="en-US"/>
        </w:rPr>
        <w:t>t</w:t>
      </w:r>
      <w:r w:rsidR="0086485D" w:rsidRPr="000E5A31">
        <w:rPr>
          <w:rFonts w:eastAsia="Calibri" w:cs="Arial"/>
          <w:szCs w:val="22"/>
          <w:lang w:eastAsia="en-US"/>
        </w:rPr>
        <w:t>wicklung eines Regional Credentialing Programms sowie eines Regional Capacity Develo</w:t>
      </w:r>
      <w:r w:rsidR="0086485D" w:rsidRPr="000E5A31">
        <w:rPr>
          <w:rFonts w:eastAsia="Calibri" w:cs="Arial"/>
          <w:szCs w:val="22"/>
          <w:lang w:eastAsia="en-US"/>
        </w:rPr>
        <w:t>p</w:t>
      </w:r>
      <w:r w:rsidR="0086485D" w:rsidRPr="000E5A31">
        <w:rPr>
          <w:rFonts w:eastAsia="Calibri" w:cs="Arial"/>
          <w:szCs w:val="22"/>
          <w:lang w:eastAsia="en-US"/>
        </w:rPr>
        <w:t>men</w:t>
      </w:r>
      <w:r w:rsidR="0068541B" w:rsidRPr="000E5A31">
        <w:rPr>
          <w:rFonts w:eastAsia="Calibri" w:cs="Arial"/>
          <w:szCs w:val="22"/>
          <w:lang w:eastAsia="en-US"/>
        </w:rPr>
        <w:t>t</w:t>
      </w:r>
      <w:r w:rsidR="0086485D" w:rsidRPr="000E5A31">
        <w:rPr>
          <w:rFonts w:eastAsia="Calibri" w:cs="Arial"/>
          <w:szCs w:val="22"/>
          <w:lang w:eastAsia="en-US"/>
        </w:rPr>
        <w:t xml:space="preserve"> Action Plans (Umsetzung über FV mit RCREEE).</w:t>
      </w:r>
      <w:r w:rsidR="0068541B" w:rsidRPr="000E5A31">
        <w:rPr>
          <w:rFonts w:eastAsia="Calibri" w:cs="Arial"/>
          <w:szCs w:val="22"/>
          <w:lang w:eastAsia="en-US"/>
        </w:rPr>
        <w:t xml:space="preserve"> Darüber hinaus sollen </w:t>
      </w:r>
      <w:r w:rsidR="0068541B" w:rsidRPr="000E5A31">
        <w:t xml:space="preserve">Capacity Needs Assessments und Capacity Building Maßnahmen für den Training-the-Trainer-Bereich vorbereitet werden, in enger Zusammenarbeit mit den </w:t>
      </w:r>
      <w:r w:rsidR="00714B11" w:rsidRPr="000E5A31">
        <w:t>jeweiligen</w:t>
      </w:r>
      <w:r w:rsidR="0068541B" w:rsidRPr="000E5A31">
        <w:t xml:space="preserve"> Vorortvorhaben.</w:t>
      </w:r>
    </w:p>
    <w:p w:rsidR="00B34F68" w:rsidRPr="000E5A31" w:rsidRDefault="00B34F68" w:rsidP="007F49F8">
      <w:pPr>
        <w:spacing w:after="120"/>
        <w:rPr>
          <w:rFonts w:eastAsia="Calibri" w:cs="Arial"/>
          <w:szCs w:val="22"/>
          <w:lang w:eastAsia="en-US"/>
        </w:rPr>
      </w:pPr>
    </w:p>
    <w:p w:rsidR="0086485D" w:rsidRPr="000E5A31" w:rsidRDefault="00B45C39" w:rsidP="0086485D">
      <w:pPr>
        <w:spacing w:after="120"/>
        <w:rPr>
          <w:rFonts w:eastAsia="Calibri" w:cs="Arial"/>
          <w:szCs w:val="22"/>
          <w:lang w:eastAsia="en-US"/>
        </w:rPr>
      </w:pPr>
      <w:r w:rsidRPr="000E5A31">
        <w:rPr>
          <w:rFonts w:eastAsia="Calibri" w:cs="Arial"/>
          <w:b/>
          <w:szCs w:val="22"/>
          <w:lang w:eastAsia="en-US"/>
        </w:rPr>
        <w:t xml:space="preserve">Indikator </w:t>
      </w:r>
      <w:r w:rsidRPr="000E5A31">
        <w:rPr>
          <w:rFonts w:cs="Arial"/>
          <w:b/>
          <w:szCs w:val="22"/>
        </w:rPr>
        <w:t>4:</w:t>
      </w:r>
      <w:r w:rsidRPr="000E5A31">
        <w:rPr>
          <w:rFonts w:cs="Arial"/>
          <w:szCs w:val="22"/>
        </w:rPr>
        <w:t xml:space="preserve"> Der regionale Austausch zu Strategien zur Förderung von Beschäftigung durch Nutzung von RE/EE wird von 70% der Teilnehmer als nützlich für ihre Arbeit bewertet.</w:t>
      </w:r>
    </w:p>
    <w:p w:rsidR="0086485D" w:rsidRPr="000E5A31" w:rsidRDefault="0068541B" w:rsidP="007F49F8">
      <w:pPr>
        <w:spacing w:after="120"/>
        <w:rPr>
          <w:rFonts w:eastAsia="Calibri" w:cs="Arial"/>
          <w:szCs w:val="22"/>
          <w:lang w:eastAsia="en-US"/>
        </w:rPr>
      </w:pPr>
      <w:r w:rsidRPr="000E5A31">
        <w:rPr>
          <w:rFonts w:eastAsia="Calibri" w:cs="Arial"/>
          <w:szCs w:val="22"/>
          <w:lang w:eastAsia="en-US"/>
        </w:rPr>
        <w:t xml:space="preserve">Hierzu arbeitet das Vorhaben eng </w:t>
      </w:r>
      <w:r w:rsidR="0086485D" w:rsidRPr="000E5A31">
        <w:rPr>
          <w:rFonts w:eastAsia="Calibri" w:cs="Arial"/>
          <w:szCs w:val="22"/>
          <w:lang w:eastAsia="en-US"/>
        </w:rPr>
        <w:t xml:space="preserve">mit regionalen Institutionen </w:t>
      </w:r>
      <w:r w:rsidRPr="000E5A31">
        <w:rPr>
          <w:rFonts w:eastAsia="Calibri" w:cs="Arial"/>
          <w:szCs w:val="22"/>
          <w:lang w:eastAsia="en-US"/>
        </w:rPr>
        <w:t>zusammen</w:t>
      </w:r>
      <w:r w:rsidR="0086485D" w:rsidRPr="000E5A31">
        <w:rPr>
          <w:rFonts w:eastAsia="Calibri" w:cs="Arial"/>
          <w:szCs w:val="22"/>
          <w:lang w:eastAsia="en-US"/>
        </w:rPr>
        <w:t xml:space="preserve">, </w:t>
      </w:r>
      <w:r w:rsidRPr="000E5A31">
        <w:rPr>
          <w:rFonts w:eastAsia="Calibri" w:cs="Arial"/>
          <w:szCs w:val="22"/>
          <w:lang w:eastAsia="en-US"/>
        </w:rPr>
        <w:t xml:space="preserve">wie </w:t>
      </w:r>
      <w:r w:rsidR="0086485D" w:rsidRPr="000E5A31">
        <w:rPr>
          <w:rFonts w:eastAsia="Calibri" w:cs="Arial"/>
          <w:szCs w:val="22"/>
          <w:lang w:eastAsia="en-US"/>
        </w:rPr>
        <w:t>insbesondere dem Regionalen Zentrum für Erneuerbare Energien und Energieeffizienz (RCREEE) in Kairo</w:t>
      </w:r>
      <w:r w:rsidRPr="000E5A31">
        <w:rPr>
          <w:rFonts w:eastAsia="Calibri" w:cs="Arial"/>
          <w:szCs w:val="22"/>
          <w:lang w:eastAsia="en-US"/>
        </w:rPr>
        <w:t>, aber auch anderen mit anderen regionalen (oder internationalen) Akteuren</w:t>
      </w:r>
      <w:r w:rsidR="0086485D" w:rsidRPr="000E5A31">
        <w:rPr>
          <w:rFonts w:eastAsia="Calibri" w:cs="Arial"/>
          <w:szCs w:val="22"/>
          <w:lang w:eastAsia="en-US"/>
        </w:rPr>
        <w:t xml:space="preserve"> </w:t>
      </w:r>
      <w:r w:rsidRPr="000E5A31">
        <w:rPr>
          <w:rFonts w:eastAsia="Calibri" w:cs="Arial"/>
          <w:szCs w:val="22"/>
          <w:lang w:eastAsia="en-US"/>
        </w:rPr>
        <w:t xml:space="preserve">wie etwa </w:t>
      </w:r>
      <w:r w:rsidR="0086485D" w:rsidRPr="000E5A31">
        <w:rPr>
          <w:rFonts w:eastAsia="Calibri" w:cs="Arial"/>
          <w:szCs w:val="22"/>
          <w:lang w:eastAsia="en-US"/>
        </w:rPr>
        <w:t xml:space="preserve">dem Center for </w:t>
      </w:r>
      <w:r w:rsidR="00714B11" w:rsidRPr="000E5A31">
        <w:rPr>
          <w:rFonts w:eastAsia="Calibri" w:cs="Arial"/>
          <w:szCs w:val="22"/>
          <w:lang w:eastAsia="en-US"/>
        </w:rPr>
        <w:t>Mediterranean</w:t>
      </w:r>
      <w:r w:rsidR="0086485D" w:rsidRPr="000E5A31">
        <w:rPr>
          <w:rFonts w:eastAsia="Calibri" w:cs="Arial"/>
          <w:szCs w:val="22"/>
          <w:lang w:eastAsia="en-US"/>
        </w:rPr>
        <w:t xml:space="preserve"> </w:t>
      </w:r>
      <w:r w:rsidR="00714B11" w:rsidRPr="000E5A31">
        <w:rPr>
          <w:rFonts w:eastAsia="Calibri" w:cs="Arial"/>
          <w:szCs w:val="22"/>
          <w:lang w:eastAsia="en-US"/>
        </w:rPr>
        <w:t>Integration</w:t>
      </w:r>
      <w:r w:rsidR="0086485D" w:rsidRPr="000E5A31">
        <w:rPr>
          <w:rFonts w:eastAsia="Calibri" w:cs="Arial"/>
          <w:szCs w:val="22"/>
          <w:lang w:eastAsia="en-US"/>
        </w:rPr>
        <w:t xml:space="preserve"> (CMI) in </w:t>
      </w:r>
      <w:r w:rsidR="00714B11" w:rsidRPr="000E5A31">
        <w:rPr>
          <w:rFonts w:eastAsia="Calibri" w:cs="Arial"/>
          <w:szCs w:val="22"/>
          <w:lang w:eastAsia="en-US"/>
        </w:rPr>
        <w:t>Marseille</w:t>
      </w:r>
      <w:r w:rsidRPr="000E5A31">
        <w:rPr>
          <w:rFonts w:eastAsia="Calibri" w:cs="Arial"/>
          <w:szCs w:val="22"/>
          <w:lang w:eastAsia="en-US"/>
        </w:rPr>
        <w:t>, den beiden UN Wirtschafts- und Sozialausschüssen für Westasien und Nordafrika in Beirut und Rabat sowie last but not least der Internationalen Agentur für Erneuerbare Energien (IRENA) in Abu Dhabi und Bonn</w:t>
      </w:r>
      <w:r w:rsidR="0086485D" w:rsidRPr="000E5A31">
        <w:rPr>
          <w:rFonts w:eastAsia="Calibri" w:cs="Arial"/>
          <w:szCs w:val="22"/>
          <w:lang w:eastAsia="en-US"/>
        </w:rPr>
        <w:t>.</w:t>
      </w:r>
    </w:p>
    <w:p w:rsidR="0068541B" w:rsidRPr="000E5A31" w:rsidRDefault="0068541B" w:rsidP="007F49F8">
      <w:pPr>
        <w:spacing w:after="120"/>
        <w:rPr>
          <w:rFonts w:eastAsia="Calibri" w:cs="Arial"/>
          <w:szCs w:val="22"/>
          <w:lang w:eastAsia="en-US"/>
        </w:rPr>
      </w:pPr>
      <w:r w:rsidRPr="000E5A31">
        <w:rPr>
          <w:rFonts w:eastAsia="Calibri" w:cs="Arial"/>
          <w:szCs w:val="22"/>
          <w:lang w:eastAsia="en-US"/>
        </w:rPr>
        <w:lastRenderedPageBreak/>
        <w:t>Mit RCR</w:t>
      </w:r>
      <w:r w:rsidR="0092263B" w:rsidRPr="000E5A31">
        <w:rPr>
          <w:rFonts w:eastAsia="Calibri" w:cs="Arial"/>
          <w:szCs w:val="22"/>
          <w:lang w:eastAsia="en-US"/>
        </w:rPr>
        <w:t>E</w:t>
      </w:r>
      <w:r w:rsidRPr="000E5A31">
        <w:rPr>
          <w:rFonts w:eastAsia="Calibri" w:cs="Arial"/>
          <w:szCs w:val="22"/>
          <w:lang w:eastAsia="en-US"/>
        </w:rPr>
        <w:t>EE wurde mit Unterzeichnung des FV am 31.05.2015 die Durchführung von insg</w:t>
      </w:r>
      <w:r w:rsidRPr="000E5A31">
        <w:rPr>
          <w:rFonts w:eastAsia="Calibri" w:cs="Arial"/>
          <w:szCs w:val="22"/>
          <w:lang w:eastAsia="en-US"/>
        </w:rPr>
        <w:t>e</w:t>
      </w:r>
      <w:r w:rsidRPr="000E5A31">
        <w:rPr>
          <w:rFonts w:eastAsia="Calibri" w:cs="Arial"/>
          <w:szCs w:val="22"/>
          <w:lang w:eastAsia="en-US"/>
        </w:rPr>
        <w:t xml:space="preserve">samt 6 regionalen Multistakeholder-Dialogveranstaltungen vereinbart, welche die nationalen Veranstaltungen in den einzelnen Partnerländern ergänzen werden, ebenso wie die </w:t>
      </w:r>
      <w:r w:rsidR="0092263B" w:rsidRPr="000E5A31">
        <w:rPr>
          <w:rFonts w:eastAsia="Calibri" w:cs="Arial"/>
          <w:szCs w:val="22"/>
          <w:lang w:eastAsia="en-US"/>
        </w:rPr>
        <w:t>Verö</w:t>
      </w:r>
      <w:r w:rsidR="0092263B" w:rsidRPr="000E5A31">
        <w:rPr>
          <w:rFonts w:eastAsia="Calibri" w:cs="Arial"/>
          <w:szCs w:val="22"/>
          <w:lang w:eastAsia="en-US"/>
        </w:rPr>
        <w:t>f</w:t>
      </w:r>
      <w:r w:rsidR="0092263B" w:rsidRPr="000E5A31">
        <w:rPr>
          <w:rFonts w:eastAsia="Calibri" w:cs="Arial"/>
          <w:szCs w:val="22"/>
          <w:lang w:eastAsia="en-US"/>
        </w:rPr>
        <w:t xml:space="preserve">fentlichung von Best Practice Studien und Potentialanalysen, die im Rahmen der </w:t>
      </w:r>
      <w:r w:rsidR="00714B11" w:rsidRPr="000E5A31">
        <w:rPr>
          <w:rFonts w:eastAsia="Calibri" w:cs="Arial"/>
          <w:szCs w:val="22"/>
          <w:lang w:eastAsia="en-US"/>
        </w:rPr>
        <w:t>einzelnen</w:t>
      </w:r>
      <w:r w:rsidR="0092263B" w:rsidRPr="000E5A31">
        <w:rPr>
          <w:rFonts w:eastAsia="Calibri" w:cs="Arial"/>
          <w:szCs w:val="22"/>
          <w:lang w:eastAsia="en-US"/>
        </w:rPr>
        <w:t xml:space="preserve"> Maßnahmen durchgeführt werden. Der </w:t>
      </w:r>
      <w:r w:rsidR="00714B11" w:rsidRPr="000E5A31">
        <w:rPr>
          <w:rFonts w:eastAsia="Calibri" w:cs="Arial"/>
          <w:szCs w:val="22"/>
          <w:lang w:eastAsia="en-US"/>
        </w:rPr>
        <w:t>zuvor genannte</w:t>
      </w:r>
      <w:r w:rsidR="0092263B" w:rsidRPr="000E5A31">
        <w:rPr>
          <w:rFonts w:eastAsia="Calibri" w:cs="Arial"/>
          <w:szCs w:val="22"/>
          <w:lang w:eastAsia="en-US"/>
        </w:rPr>
        <w:t xml:space="preserve"> Workshop am 02.06.2015 in Kairo zum </w:t>
      </w:r>
      <w:r w:rsidR="0092263B" w:rsidRPr="000E5A31">
        <w:rPr>
          <w:rFonts w:eastAsia="Cambria" w:cs="Arial"/>
          <w:bCs/>
          <w:szCs w:val="22"/>
          <w:lang w:eastAsia="fr-FR"/>
        </w:rPr>
        <w:t xml:space="preserve">Thema “Designing and </w:t>
      </w:r>
      <w:r w:rsidR="00714B11" w:rsidRPr="000E5A31">
        <w:rPr>
          <w:rFonts w:eastAsia="Cambria" w:cs="Arial"/>
          <w:bCs/>
          <w:szCs w:val="22"/>
          <w:lang w:eastAsia="fr-FR"/>
        </w:rPr>
        <w:t>Implementing</w:t>
      </w:r>
      <w:r w:rsidR="0092263B" w:rsidRPr="000E5A31">
        <w:rPr>
          <w:rFonts w:eastAsia="Cambria" w:cs="Arial"/>
          <w:bCs/>
          <w:szCs w:val="22"/>
          <w:lang w:eastAsia="fr-FR"/>
        </w:rPr>
        <w:t xml:space="preserve"> Quality Standards and Quality Assurance Mech</w:t>
      </w:r>
      <w:r w:rsidR="0092263B" w:rsidRPr="000E5A31">
        <w:rPr>
          <w:rFonts w:eastAsia="Cambria" w:cs="Arial"/>
          <w:bCs/>
          <w:szCs w:val="22"/>
          <w:lang w:eastAsia="fr-FR"/>
        </w:rPr>
        <w:t>a</w:t>
      </w:r>
      <w:r w:rsidR="0092263B" w:rsidRPr="000E5A31">
        <w:rPr>
          <w:rFonts w:eastAsia="Cambria" w:cs="Arial"/>
          <w:bCs/>
          <w:szCs w:val="22"/>
          <w:lang w:eastAsia="fr-FR"/>
        </w:rPr>
        <w:t xml:space="preserve">nisms for RE/EE Professional and Further Training in the MENA Region” </w:t>
      </w:r>
      <w:r w:rsidR="0092263B" w:rsidRPr="000E5A31">
        <w:rPr>
          <w:rFonts w:eastAsia="Calibri" w:cs="Arial"/>
          <w:szCs w:val="22"/>
          <w:lang w:eastAsia="en-US"/>
        </w:rPr>
        <w:t>stellte den Au</w:t>
      </w:r>
      <w:r w:rsidR="0092263B" w:rsidRPr="000E5A31">
        <w:rPr>
          <w:rFonts w:eastAsia="Calibri" w:cs="Arial"/>
          <w:szCs w:val="22"/>
          <w:lang w:eastAsia="en-US"/>
        </w:rPr>
        <w:t>f</w:t>
      </w:r>
      <w:r w:rsidR="0092263B" w:rsidRPr="000E5A31">
        <w:rPr>
          <w:rFonts w:eastAsia="Calibri" w:cs="Arial"/>
          <w:szCs w:val="22"/>
          <w:lang w:eastAsia="en-US"/>
        </w:rPr>
        <w:t>takt dieser Zusammenarbeit</w:t>
      </w:r>
      <w:r w:rsidR="00C03506">
        <w:rPr>
          <w:rFonts w:eastAsia="Calibri" w:cs="Arial"/>
          <w:szCs w:val="22"/>
          <w:lang w:eastAsia="en-US"/>
        </w:rPr>
        <w:t xml:space="preserve"> dar</w:t>
      </w:r>
      <w:r w:rsidR="0092263B" w:rsidRPr="000E5A31">
        <w:rPr>
          <w:rFonts w:eastAsia="Calibri" w:cs="Arial"/>
          <w:szCs w:val="22"/>
          <w:lang w:eastAsia="en-US"/>
        </w:rPr>
        <w:t>. Dabei ist generell zu beachten, dass auch bei den einzelnen landesspezifischen Veranstaltungen (wie etwa den SE4JOBS Expert Workshops) ganz g</w:t>
      </w:r>
      <w:r w:rsidR="0092263B" w:rsidRPr="000E5A31">
        <w:rPr>
          <w:rFonts w:eastAsia="Calibri" w:cs="Arial"/>
          <w:szCs w:val="22"/>
          <w:lang w:eastAsia="en-US"/>
        </w:rPr>
        <w:t>e</w:t>
      </w:r>
      <w:r w:rsidR="0092263B" w:rsidRPr="000E5A31">
        <w:rPr>
          <w:rFonts w:eastAsia="Calibri" w:cs="Arial"/>
          <w:szCs w:val="22"/>
          <w:lang w:eastAsia="en-US"/>
        </w:rPr>
        <w:t xml:space="preserve">zielt </w:t>
      </w:r>
      <w:r w:rsidR="00714B11" w:rsidRPr="000E5A31">
        <w:rPr>
          <w:rFonts w:eastAsia="Calibri" w:cs="Arial"/>
          <w:szCs w:val="22"/>
          <w:lang w:eastAsia="en-US"/>
        </w:rPr>
        <w:t>Vertreter</w:t>
      </w:r>
      <w:r w:rsidR="0092263B" w:rsidRPr="000E5A31">
        <w:rPr>
          <w:rFonts w:eastAsia="Calibri" w:cs="Arial"/>
          <w:szCs w:val="22"/>
          <w:lang w:eastAsia="en-US"/>
        </w:rPr>
        <w:t xml:space="preserve"> aus anderen Ländern eingeladen werden, um so zu helfen, nationale Verkru</w:t>
      </w:r>
      <w:r w:rsidR="0092263B" w:rsidRPr="000E5A31">
        <w:rPr>
          <w:rFonts w:eastAsia="Calibri" w:cs="Arial"/>
          <w:szCs w:val="22"/>
          <w:lang w:eastAsia="en-US"/>
        </w:rPr>
        <w:t>s</w:t>
      </w:r>
      <w:r w:rsidR="0092263B" w:rsidRPr="000E5A31">
        <w:rPr>
          <w:rFonts w:eastAsia="Calibri" w:cs="Arial"/>
          <w:szCs w:val="22"/>
          <w:lang w:eastAsia="en-US"/>
        </w:rPr>
        <w:t>tu</w:t>
      </w:r>
      <w:r w:rsidR="0092263B" w:rsidRPr="000E5A31">
        <w:rPr>
          <w:rFonts w:eastAsia="Calibri" w:cs="Arial"/>
          <w:szCs w:val="22"/>
          <w:lang w:eastAsia="en-US"/>
        </w:rPr>
        <w:t>n</w:t>
      </w:r>
      <w:r w:rsidR="0092263B" w:rsidRPr="000E5A31">
        <w:rPr>
          <w:rFonts w:eastAsia="Calibri" w:cs="Arial"/>
          <w:szCs w:val="22"/>
          <w:lang w:eastAsia="en-US"/>
        </w:rPr>
        <w:t>gen aufzulösen oder gar nicht erst entstehen zu lassen.</w:t>
      </w:r>
    </w:p>
    <w:p w:rsidR="003E5100" w:rsidRPr="000E5A31" w:rsidRDefault="0092263B" w:rsidP="003E5100">
      <w:pPr>
        <w:spacing w:after="120"/>
        <w:rPr>
          <w:rFonts w:eastAsia="Calibri" w:cs="Arial"/>
          <w:szCs w:val="22"/>
          <w:lang w:eastAsia="en-US"/>
        </w:rPr>
      </w:pPr>
      <w:r w:rsidRPr="000E5A31">
        <w:rPr>
          <w:rFonts w:eastAsia="Cambria" w:cs="Arial"/>
          <w:bCs/>
          <w:szCs w:val="22"/>
          <w:lang w:eastAsia="fr-FR"/>
        </w:rPr>
        <w:t xml:space="preserve">Außerdem </w:t>
      </w:r>
      <w:r w:rsidR="003E5100" w:rsidRPr="000E5A31">
        <w:rPr>
          <w:rFonts w:eastAsia="Cambria" w:cs="Arial"/>
          <w:bCs/>
          <w:szCs w:val="22"/>
          <w:lang w:eastAsia="fr-FR"/>
        </w:rPr>
        <w:t xml:space="preserve">nahmen </w:t>
      </w:r>
      <w:r w:rsidRPr="000E5A31">
        <w:rPr>
          <w:rFonts w:eastAsia="Cambria" w:cs="Arial"/>
          <w:bCs/>
          <w:szCs w:val="22"/>
          <w:lang w:eastAsia="fr-FR"/>
        </w:rPr>
        <w:t>Ve</w:t>
      </w:r>
      <w:r w:rsidR="003E5100" w:rsidRPr="000E5A31">
        <w:rPr>
          <w:rFonts w:eastAsia="Cambria" w:cs="Arial"/>
          <w:bCs/>
          <w:szCs w:val="22"/>
          <w:lang w:eastAsia="fr-FR"/>
        </w:rPr>
        <w:t xml:space="preserve">rtreter des Vorhabens aktiv an einer Reihe </w:t>
      </w:r>
      <w:r w:rsidR="0086485D" w:rsidRPr="000E5A31">
        <w:rPr>
          <w:rFonts w:eastAsia="Calibri" w:cs="Arial"/>
          <w:szCs w:val="22"/>
          <w:lang w:eastAsia="en-US"/>
        </w:rPr>
        <w:t>explizit länderübergreife</w:t>
      </w:r>
      <w:r w:rsidR="0086485D" w:rsidRPr="000E5A31">
        <w:rPr>
          <w:rFonts w:eastAsia="Calibri" w:cs="Arial"/>
          <w:szCs w:val="22"/>
          <w:lang w:eastAsia="en-US"/>
        </w:rPr>
        <w:t>n</w:t>
      </w:r>
      <w:r w:rsidR="0086485D" w:rsidRPr="000E5A31">
        <w:rPr>
          <w:rFonts w:eastAsia="Calibri" w:cs="Arial"/>
          <w:szCs w:val="22"/>
          <w:lang w:eastAsia="en-US"/>
        </w:rPr>
        <w:t>de</w:t>
      </w:r>
      <w:r w:rsidR="00446BC5" w:rsidRPr="000E5A31">
        <w:rPr>
          <w:rFonts w:eastAsia="Calibri" w:cs="Arial"/>
          <w:szCs w:val="22"/>
          <w:lang w:eastAsia="en-US"/>
        </w:rPr>
        <w:t>r</w:t>
      </w:r>
      <w:r w:rsidR="0086485D" w:rsidRPr="000E5A31">
        <w:rPr>
          <w:rFonts w:eastAsia="Calibri" w:cs="Arial"/>
          <w:szCs w:val="22"/>
          <w:lang w:eastAsia="en-US"/>
        </w:rPr>
        <w:t xml:space="preserve"> Veranstaltungen </w:t>
      </w:r>
      <w:r w:rsidR="003E5100" w:rsidRPr="000E5A31">
        <w:rPr>
          <w:rFonts w:eastAsia="Calibri" w:cs="Arial"/>
          <w:szCs w:val="22"/>
          <w:lang w:eastAsia="en-US"/>
        </w:rPr>
        <w:t xml:space="preserve">teil. Zu </w:t>
      </w:r>
      <w:r w:rsidR="00714B11" w:rsidRPr="000E5A31">
        <w:rPr>
          <w:rFonts w:eastAsia="Calibri" w:cs="Arial"/>
          <w:szCs w:val="22"/>
          <w:lang w:eastAsia="en-US"/>
        </w:rPr>
        <w:t>nennen</w:t>
      </w:r>
      <w:r w:rsidR="003E5100" w:rsidRPr="000E5A31">
        <w:rPr>
          <w:rFonts w:eastAsia="Calibri" w:cs="Arial"/>
          <w:szCs w:val="22"/>
          <w:lang w:eastAsia="en-US"/>
        </w:rPr>
        <w:t xml:space="preserve"> wäre hier die </w:t>
      </w:r>
      <w:r w:rsidR="0086485D" w:rsidRPr="000E5A31">
        <w:rPr>
          <w:rFonts w:eastAsia="Cambria" w:cs="Arial"/>
          <w:bCs/>
          <w:szCs w:val="22"/>
          <w:lang w:eastAsia="fr-FR"/>
        </w:rPr>
        <w:t>T</w:t>
      </w:r>
      <w:r w:rsidR="003E5100" w:rsidRPr="000E5A31">
        <w:rPr>
          <w:rFonts w:eastAsia="Cambria" w:cs="Arial"/>
          <w:bCs/>
          <w:szCs w:val="22"/>
          <w:lang w:eastAsia="fr-FR"/>
        </w:rPr>
        <w:t xml:space="preserve">eilnahme </w:t>
      </w:r>
      <w:r w:rsidR="0086485D" w:rsidRPr="000E5A31">
        <w:rPr>
          <w:rFonts w:eastAsia="Cambria" w:cs="Arial"/>
          <w:bCs/>
          <w:szCs w:val="22"/>
          <w:lang w:eastAsia="fr-FR"/>
        </w:rPr>
        <w:t>am Regionalseminar der Wel</w:t>
      </w:r>
      <w:r w:rsidR="0086485D" w:rsidRPr="000E5A31">
        <w:rPr>
          <w:rFonts w:eastAsia="Cambria" w:cs="Arial"/>
          <w:bCs/>
          <w:szCs w:val="22"/>
          <w:lang w:eastAsia="fr-FR"/>
        </w:rPr>
        <w:t>t</w:t>
      </w:r>
      <w:r w:rsidR="0086485D" w:rsidRPr="000E5A31">
        <w:rPr>
          <w:rFonts w:eastAsia="Cambria" w:cs="Arial"/>
          <w:bCs/>
          <w:szCs w:val="22"/>
          <w:lang w:eastAsia="fr-FR"/>
        </w:rPr>
        <w:t>bank und des CMI zum Thema Energieeffizienz im Mittelmeerr</w:t>
      </w:r>
      <w:r w:rsidR="00446BC5" w:rsidRPr="000E5A31">
        <w:rPr>
          <w:rFonts w:eastAsia="Cambria" w:cs="Arial"/>
          <w:bCs/>
          <w:szCs w:val="22"/>
          <w:lang w:eastAsia="fr-FR"/>
        </w:rPr>
        <w:t>a</w:t>
      </w:r>
      <w:r w:rsidR="0086485D" w:rsidRPr="000E5A31">
        <w:rPr>
          <w:rFonts w:eastAsia="Cambria" w:cs="Arial"/>
          <w:bCs/>
          <w:szCs w:val="22"/>
          <w:lang w:eastAsia="fr-FR"/>
        </w:rPr>
        <w:t>um in Marseille (23.09.2014)</w:t>
      </w:r>
      <w:r w:rsidR="003E5100" w:rsidRPr="000E5A31">
        <w:rPr>
          <w:rFonts w:eastAsia="Cambria" w:cs="Arial"/>
          <w:bCs/>
          <w:szCs w:val="22"/>
          <w:lang w:eastAsia="fr-FR"/>
        </w:rPr>
        <w:t xml:space="preserve">; </w:t>
      </w:r>
      <w:r w:rsidR="00BD2B51" w:rsidRPr="000E5A31">
        <w:rPr>
          <w:rFonts w:eastAsia="Cambria" w:cs="Arial"/>
          <w:bCs/>
          <w:szCs w:val="22"/>
          <w:lang w:eastAsia="fr-FR"/>
        </w:rPr>
        <w:t>am 5.</w:t>
      </w:r>
      <w:r w:rsidR="0086485D" w:rsidRPr="000E5A31">
        <w:rPr>
          <w:rFonts w:eastAsia="Cambria" w:cs="Arial"/>
          <w:bCs/>
          <w:szCs w:val="22"/>
          <w:lang w:eastAsia="fr-FR"/>
        </w:rPr>
        <w:t xml:space="preserve">Internationalen Forum der Vereinten Nationen zum Thema Energie für eine nachhaltige </w:t>
      </w:r>
      <w:r w:rsidR="00714B11" w:rsidRPr="000E5A31">
        <w:rPr>
          <w:rFonts w:eastAsia="Cambria" w:cs="Arial"/>
          <w:bCs/>
          <w:szCs w:val="22"/>
          <w:lang w:eastAsia="fr-FR"/>
        </w:rPr>
        <w:t>Entwicklung</w:t>
      </w:r>
      <w:r w:rsidR="0086485D" w:rsidRPr="000E5A31">
        <w:rPr>
          <w:rFonts w:eastAsia="Cambria" w:cs="Arial"/>
          <w:bCs/>
          <w:szCs w:val="22"/>
          <w:lang w:eastAsia="fr-FR"/>
        </w:rPr>
        <w:t xml:space="preserve"> in Hammamet (04.-06.11.2014)</w:t>
      </w:r>
      <w:r w:rsidR="003E5100" w:rsidRPr="000E5A31">
        <w:rPr>
          <w:rFonts w:eastAsia="Cambria" w:cs="Arial"/>
          <w:bCs/>
          <w:szCs w:val="22"/>
          <w:lang w:eastAsia="fr-FR"/>
        </w:rPr>
        <w:t xml:space="preserve">; </w:t>
      </w:r>
      <w:r w:rsidR="00BD2B51" w:rsidRPr="000E5A31">
        <w:rPr>
          <w:rFonts w:eastAsia="Cambria" w:cs="Arial"/>
          <w:bCs/>
          <w:szCs w:val="22"/>
          <w:lang w:eastAsia="fr-FR"/>
        </w:rPr>
        <w:t>am 5.</w:t>
      </w:r>
      <w:r w:rsidR="0086485D" w:rsidRPr="000E5A31">
        <w:rPr>
          <w:rFonts w:eastAsia="Cambria" w:cs="Arial"/>
          <w:bCs/>
          <w:szCs w:val="22"/>
          <w:lang w:eastAsia="fr-FR"/>
        </w:rPr>
        <w:t>Deutsch-Arabischen Energieforum in Be</w:t>
      </w:r>
      <w:r w:rsidR="0086485D" w:rsidRPr="000E5A31">
        <w:rPr>
          <w:rFonts w:eastAsia="Cambria" w:cs="Arial"/>
          <w:bCs/>
          <w:szCs w:val="22"/>
          <w:lang w:eastAsia="fr-FR"/>
        </w:rPr>
        <w:t>r</w:t>
      </w:r>
      <w:r w:rsidR="0086485D" w:rsidRPr="000E5A31">
        <w:rPr>
          <w:rFonts w:eastAsia="Cambria" w:cs="Arial"/>
          <w:bCs/>
          <w:szCs w:val="22"/>
          <w:lang w:eastAsia="fr-FR"/>
        </w:rPr>
        <w:t>lin (13.-14.11.2014)</w:t>
      </w:r>
      <w:r w:rsidR="003E5100" w:rsidRPr="000E5A31">
        <w:rPr>
          <w:rFonts w:eastAsia="Cambria" w:cs="Arial"/>
          <w:bCs/>
          <w:szCs w:val="22"/>
          <w:lang w:eastAsia="fr-FR"/>
        </w:rPr>
        <w:t xml:space="preserve">; </w:t>
      </w:r>
      <w:r w:rsidR="0086485D" w:rsidRPr="000E5A31">
        <w:rPr>
          <w:rFonts w:cs="Arial"/>
          <w:bCs/>
          <w:szCs w:val="22"/>
          <w:lang w:eastAsia="fr-FR"/>
        </w:rPr>
        <w:t>am Treffen der Deutsch-Tunesischen Energiepartnerschaft sowie de</w:t>
      </w:r>
      <w:r w:rsidR="00C03506">
        <w:rPr>
          <w:rFonts w:cs="Arial"/>
          <w:bCs/>
          <w:szCs w:val="22"/>
          <w:lang w:eastAsia="fr-FR"/>
        </w:rPr>
        <w:t>s</w:t>
      </w:r>
      <w:r w:rsidR="00BD2B51" w:rsidRPr="000E5A31">
        <w:rPr>
          <w:rFonts w:cs="Arial"/>
          <w:bCs/>
          <w:szCs w:val="22"/>
          <w:lang w:eastAsia="fr-FR"/>
        </w:rPr>
        <w:t xml:space="preserve"> 4.</w:t>
      </w:r>
      <w:r w:rsidR="0086485D" w:rsidRPr="000E5A31">
        <w:rPr>
          <w:rFonts w:cs="Arial"/>
          <w:bCs/>
          <w:szCs w:val="22"/>
          <w:lang w:eastAsia="fr-FR"/>
        </w:rPr>
        <w:t xml:space="preserve">Deutsch-Tunesischen Energietages </w:t>
      </w:r>
      <w:r w:rsidR="0086485D" w:rsidRPr="000E5A31">
        <w:rPr>
          <w:rFonts w:eastAsia="Cambria" w:cs="Arial"/>
          <w:bCs/>
          <w:szCs w:val="22"/>
          <w:lang w:eastAsia="fr-FR"/>
        </w:rPr>
        <w:t>in Tunis (25.11.2014)</w:t>
      </w:r>
      <w:r w:rsidR="003E5100" w:rsidRPr="000E5A31">
        <w:rPr>
          <w:rFonts w:eastAsia="Cambria" w:cs="Arial"/>
          <w:bCs/>
          <w:szCs w:val="22"/>
          <w:lang w:eastAsia="fr-FR"/>
        </w:rPr>
        <w:t xml:space="preserve">; sowie </w:t>
      </w:r>
      <w:r w:rsidR="0086485D" w:rsidRPr="000E5A31">
        <w:rPr>
          <w:rFonts w:eastAsia="Cambria" w:cs="Arial"/>
          <w:bCs/>
          <w:szCs w:val="22"/>
          <w:lang w:eastAsia="fr-FR"/>
        </w:rPr>
        <w:t xml:space="preserve">an der Vollversammlung der IRENA </w:t>
      </w:r>
      <w:r w:rsidR="00446BC5" w:rsidRPr="000E5A31">
        <w:rPr>
          <w:rFonts w:eastAsia="Cambria" w:cs="Arial"/>
          <w:bCs/>
          <w:szCs w:val="22"/>
          <w:lang w:eastAsia="fr-FR"/>
        </w:rPr>
        <w:t>und</w:t>
      </w:r>
      <w:r w:rsidR="0086485D" w:rsidRPr="000E5A31">
        <w:rPr>
          <w:rFonts w:eastAsia="Cambria" w:cs="Arial"/>
          <w:bCs/>
          <w:szCs w:val="22"/>
          <w:lang w:eastAsia="fr-FR"/>
        </w:rPr>
        <w:t xml:space="preserve"> am World Future Energy Summit (WFES) in Abu Dhabi</w:t>
      </w:r>
      <w:r w:rsidR="00BD2B51" w:rsidRPr="000E5A31">
        <w:rPr>
          <w:rFonts w:eastAsia="Cambria" w:cs="Arial"/>
          <w:bCs/>
          <w:szCs w:val="22"/>
          <w:lang w:eastAsia="fr-FR"/>
        </w:rPr>
        <w:t xml:space="preserve"> (17.-23.01.2015),</w:t>
      </w:r>
    </w:p>
    <w:p w:rsidR="0086485D" w:rsidRPr="000E5A31" w:rsidRDefault="003E5100" w:rsidP="007F49F8">
      <w:pPr>
        <w:spacing w:after="120"/>
        <w:contextualSpacing/>
        <w:jc w:val="both"/>
        <w:rPr>
          <w:rFonts w:eastAsia="Cambria" w:cs="Arial"/>
          <w:bCs/>
          <w:szCs w:val="22"/>
          <w:lang w:eastAsia="fr-FR"/>
        </w:rPr>
      </w:pPr>
      <w:r w:rsidRPr="000E5A31">
        <w:rPr>
          <w:rFonts w:eastAsia="Cambria" w:cs="Arial"/>
          <w:bCs/>
          <w:szCs w:val="22"/>
          <w:lang w:eastAsia="fr-FR"/>
        </w:rPr>
        <w:t xml:space="preserve">Gleichzeitig unterstützten Vertreter des Vorhabens aktiv den </w:t>
      </w:r>
      <w:r w:rsidR="0086485D" w:rsidRPr="000E5A31">
        <w:rPr>
          <w:rFonts w:eastAsia="Calibri" w:cs="Arial"/>
          <w:szCs w:val="22"/>
          <w:lang w:eastAsia="en-US"/>
        </w:rPr>
        <w:t>GIZ</w:t>
      </w:r>
      <w:r w:rsidR="007A16D7" w:rsidRPr="000E5A31">
        <w:rPr>
          <w:rFonts w:eastAsia="Calibri" w:cs="Arial"/>
          <w:szCs w:val="22"/>
          <w:lang w:eastAsia="en-US"/>
        </w:rPr>
        <w:t>-</w:t>
      </w:r>
      <w:r w:rsidR="0086485D" w:rsidRPr="000E5A31">
        <w:rPr>
          <w:rFonts w:eastAsia="Calibri" w:cs="Arial"/>
          <w:szCs w:val="22"/>
          <w:lang w:eastAsia="en-US"/>
        </w:rPr>
        <w:t>Sek</w:t>
      </w:r>
      <w:r w:rsidRPr="000E5A31">
        <w:rPr>
          <w:rFonts w:eastAsia="Calibri" w:cs="Arial"/>
          <w:szCs w:val="22"/>
          <w:lang w:eastAsia="en-US"/>
        </w:rPr>
        <w:t>tordialog</w:t>
      </w:r>
      <w:r w:rsidR="0086485D" w:rsidRPr="000E5A31">
        <w:rPr>
          <w:rFonts w:eastAsia="Calibri" w:cs="Arial"/>
          <w:szCs w:val="22"/>
          <w:lang w:eastAsia="en-US"/>
        </w:rPr>
        <w:t xml:space="preserve"> in MENA</w:t>
      </w:r>
      <w:r w:rsidRPr="000E5A31">
        <w:rPr>
          <w:rFonts w:eastAsia="Calibri" w:cs="Arial"/>
          <w:szCs w:val="22"/>
          <w:lang w:eastAsia="en-US"/>
        </w:rPr>
        <w:t xml:space="preserve"> im Rahmen und mit Hilfe der</w:t>
      </w:r>
      <w:r w:rsidR="0086485D" w:rsidRPr="000E5A31">
        <w:rPr>
          <w:rFonts w:eastAsia="Calibri" w:cs="Arial"/>
          <w:szCs w:val="22"/>
          <w:lang w:eastAsia="en-US"/>
        </w:rPr>
        <w:t xml:space="preserve"> F</w:t>
      </w:r>
      <w:r w:rsidR="00BD2B51" w:rsidRPr="000E5A31">
        <w:rPr>
          <w:rFonts w:eastAsia="Calibri" w:cs="Arial"/>
          <w:szCs w:val="22"/>
          <w:lang w:eastAsia="en-US"/>
        </w:rPr>
        <w:t>achverbü</w:t>
      </w:r>
      <w:r w:rsidR="007A16D7" w:rsidRPr="000E5A31">
        <w:rPr>
          <w:rFonts w:eastAsia="Calibri" w:cs="Arial"/>
          <w:szCs w:val="22"/>
          <w:lang w:eastAsia="en-US"/>
        </w:rPr>
        <w:t>nde</w:t>
      </w:r>
      <w:r w:rsidR="0086485D" w:rsidRPr="000E5A31">
        <w:rPr>
          <w:rFonts w:eastAsia="Calibri" w:cs="Arial"/>
          <w:szCs w:val="22"/>
          <w:lang w:eastAsia="en-US"/>
        </w:rPr>
        <w:t xml:space="preserve"> MENREM und MINO:</w:t>
      </w:r>
      <w:r w:rsidRPr="000E5A31">
        <w:rPr>
          <w:rFonts w:eastAsia="Calibri" w:cs="Arial"/>
          <w:szCs w:val="22"/>
          <w:lang w:eastAsia="en-US"/>
        </w:rPr>
        <w:t xml:space="preserve"> Hierzu zählt die Teilnahme </w:t>
      </w:r>
      <w:r w:rsidR="0086485D" w:rsidRPr="000E5A31">
        <w:rPr>
          <w:rFonts w:eastAsia="Cambria" w:cs="Arial"/>
          <w:bCs/>
          <w:szCs w:val="22"/>
          <w:lang w:eastAsia="fr-FR"/>
        </w:rPr>
        <w:t>an de</w:t>
      </w:r>
      <w:r w:rsidR="00BD2B51" w:rsidRPr="000E5A31">
        <w:rPr>
          <w:rFonts w:eastAsia="Cambria" w:cs="Arial"/>
          <w:bCs/>
          <w:szCs w:val="22"/>
          <w:lang w:eastAsia="fr-FR"/>
        </w:rPr>
        <w:t>n Fachtagen</w:t>
      </w:r>
      <w:r w:rsidR="0086485D" w:rsidRPr="000E5A31">
        <w:rPr>
          <w:rFonts w:eastAsia="Cambria" w:cs="Arial"/>
          <w:bCs/>
          <w:szCs w:val="22"/>
          <w:lang w:eastAsia="fr-FR"/>
        </w:rPr>
        <w:t xml:space="preserve"> </w:t>
      </w:r>
      <w:r w:rsidR="00BD2B51" w:rsidRPr="000E5A31">
        <w:rPr>
          <w:rFonts w:eastAsia="Cambria" w:cs="Arial"/>
          <w:bCs/>
          <w:szCs w:val="22"/>
          <w:lang w:eastAsia="fr-FR"/>
        </w:rPr>
        <w:t>(</w:t>
      </w:r>
      <w:r w:rsidR="0086485D" w:rsidRPr="000E5A31">
        <w:rPr>
          <w:rFonts w:eastAsia="Cambria" w:cs="Arial"/>
          <w:bCs/>
          <w:szCs w:val="22"/>
          <w:lang w:eastAsia="fr-FR"/>
        </w:rPr>
        <w:t>FATA</w:t>
      </w:r>
      <w:r w:rsidR="00BD2B51" w:rsidRPr="000E5A31">
        <w:rPr>
          <w:rFonts w:eastAsia="Cambria" w:cs="Arial"/>
          <w:bCs/>
          <w:szCs w:val="22"/>
          <w:lang w:eastAsia="fr-FR"/>
        </w:rPr>
        <w:t>)</w:t>
      </w:r>
      <w:r w:rsidR="0086485D" w:rsidRPr="000E5A31">
        <w:rPr>
          <w:rFonts w:eastAsia="Cambria" w:cs="Arial"/>
          <w:bCs/>
          <w:szCs w:val="22"/>
          <w:lang w:eastAsia="fr-FR"/>
        </w:rPr>
        <w:t xml:space="preserve"> der </w:t>
      </w:r>
      <w:r w:rsidR="00BD2B51" w:rsidRPr="000E5A31">
        <w:rPr>
          <w:rFonts w:eastAsia="Cambria" w:cs="Arial"/>
          <w:bCs/>
          <w:szCs w:val="22"/>
          <w:lang w:eastAsia="fr-FR"/>
        </w:rPr>
        <w:t xml:space="preserve">Abt. </w:t>
      </w:r>
      <w:r w:rsidR="0086485D" w:rsidRPr="000E5A31">
        <w:rPr>
          <w:rFonts w:eastAsia="Cambria" w:cs="Arial"/>
          <w:bCs/>
          <w:szCs w:val="22"/>
          <w:lang w:eastAsia="fr-FR"/>
        </w:rPr>
        <w:t>4100 in Bad Honnef (14.-18.07.2014)</w:t>
      </w:r>
      <w:r w:rsidRPr="000E5A31">
        <w:rPr>
          <w:rFonts w:eastAsia="Cambria" w:cs="Arial"/>
          <w:bCs/>
          <w:szCs w:val="22"/>
          <w:lang w:eastAsia="fr-FR"/>
        </w:rPr>
        <w:t xml:space="preserve">; </w:t>
      </w:r>
      <w:r w:rsidR="0086485D" w:rsidRPr="000E5A31">
        <w:rPr>
          <w:rFonts w:eastAsia="Cambria" w:cs="Arial"/>
          <w:bCs/>
          <w:szCs w:val="22"/>
          <w:lang w:eastAsia="fr-FR"/>
        </w:rPr>
        <w:t>am Regionalen Stakeholder Workshop des FV MINO in Rabat (10.-11.09.2014)</w:t>
      </w:r>
      <w:r w:rsidRPr="000E5A31">
        <w:rPr>
          <w:rFonts w:eastAsia="Cambria" w:cs="Arial"/>
          <w:bCs/>
          <w:szCs w:val="22"/>
          <w:lang w:eastAsia="fr-FR"/>
        </w:rPr>
        <w:t xml:space="preserve">; sowie </w:t>
      </w:r>
      <w:r w:rsidR="0086485D" w:rsidRPr="000E5A31">
        <w:rPr>
          <w:rFonts w:eastAsia="Cambria" w:cs="Arial"/>
          <w:bCs/>
          <w:szCs w:val="22"/>
          <w:lang w:eastAsia="fr-FR"/>
        </w:rPr>
        <w:t>a</w:t>
      </w:r>
      <w:r w:rsidRPr="000E5A31">
        <w:rPr>
          <w:rFonts w:eastAsia="Cambria" w:cs="Arial"/>
          <w:bCs/>
          <w:szCs w:val="22"/>
          <w:lang w:eastAsia="fr-FR"/>
        </w:rPr>
        <w:t>n</w:t>
      </w:r>
      <w:r w:rsidR="0086485D" w:rsidRPr="000E5A31">
        <w:rPr>
          <w:rFonts w:eastAsia="Cambria" w:cs="Arial"/>
          <w:bCs/>
          <w:szCs w:val="22"/>
          <w:lang w:eastAsia="fr-FR"/>
        </w:rPr>
        <w:t xml:space="preserve"> </w:t>
      </w:r>
      <w:r w:rsidRPr="000E5A31">
        <w:rPr>
          <w:rFonts w:eastAsia="Cambria" w:cs="Arial"/>
          <w:bCs/>
          <w:szCs w:val="22"/>
          <w:lang w:eastAsia="fr-FR"/>
        </w:rPr>
        <w:t>einem Ko-</w:t>
      </w:r>
      <w:r w:rsidR="0086485D" w:rsidRPr="000E5A31">
        <w:rPr>
          <w:rFonts w:eastAsia="Cambria" w:cs="Arial"/>
          <w:bCs/>
          <w:szCs w:val="22"/>
          <w:lang w:eastAsia="fr-FR"/>
        </w:rPr>
        <w:t xml:space="preserve">Workshop des FMB </w:t>
      </w:r>
      <w:r w:rsidRPr="000E5A31">
        <w:rPr>
          <w:rFonts w:eastAsia="Cambria" w:cs="Arial"/>
          <w:bCs/>
          <w:szCs w:val="22"/>
          <w:lang w:eastAsia="fr-FR"/>
        </w:rPr>
        <w:t xml:space="preserve">und </w:t>
      </w:r>
      <w:r w:rsidR="0086485D" w:rsidRPr="000E5A31">
        <w:rPr>
          <w:rFonts w:eastAsia="Cambria" w:cs="Arial"/>
          <w:bCs/>
          <w:szCs w:val="22"/>
          <w:lang w:eastAsia="fr-FR"/>
        </w:rPr>
        <w:t>des FV MENREM in Eschborn (17.-19.12.2014)</w:t>
      </w:r>
      <w:r w:rsidRPr="000E5A31">
        <w:rPr>
          <w:rFonts w:eastAsia="Cambria" w:cs="Arial"/>
          <w:bCs/>
          <w:szCs w:val="22"/>
          <w:lang w:eastAsia="fr-FR"/>
        </w:rPr>
        <w:t xml:space="preserve"> zum Thema </w:t>
      </w:r>
      <w:r w:rsidR="00BD2B51" w:rsidRPr="000E5A31">
        <w:rPr>
          <w:rFonts w:eastAsia="Cambria" w:cs="Arial"/>
          <w:bCs/>
          <w:szCs w:val="22"/>
          <w:lang w:eastAsia="fr-FR"/>
        </w:rPr>
        <w:t>„</w:t>
      </w:r>
      <w:r w:rsidRPr="000E5A31">
        <w:rPr>
          <w:rFonts w:eastAsia="Cambria" w:cs="Arial"/>
          <w:bCs/>
          <w:szCs w:val="22"/>
          <w:lang w:eastAsia="fr-FR"/>
        </w:rPr>
        <w:t>Ene</w:t>
      </w:r>
      <w:r w:rsidRPr="000E5A31">
        <w:rPr>
          <w:rFonts w:eastAsia="Cambria" w:cs="Arial"/>
          <w:bCs/>
          <w:szCs w:val="22"/>
          <w:lang w:eastAsia="fr-FR"/>
        </w:rPr>
        <w:t>r</w:t>
      </w:r>
      <w:r w:rsidRPr="000E5A31">
        <w:rPr>
          <w:rFonts w:eastAsia="Cambria" w:cs="Arial"/>
          <w:bCs/>
          <w:szCs w:val="22"/>
          <w:lang w:eastAsia="fr-FR"/>
        </w:rPr>
        <w:t>gy Innovations in Africa</w:t>
      </w:r>
      <w:r w:rsidR="00BD2B51" w:rsidRPr="000E5A31">
        <w:rPr>
          <w:rFonts w:eastAsia="Cambria" w:cs="Arial"/>
          <w:bCs/>
          <w:szCs w:val="22"/>
          <w:lang w:eastAsia="fr-FR"/>
        </w:rPr>
        <w:t>“</w:t>
      </w:r>
      <w:r w:rsidRPr="000E5A31">
        <w:rPr>
          <w:rFonts w:eastAsia="Cambria" w:cs="Arial"/>
          <w:bCs/>
          <w:szCs w:val="22"/>
          <w:lang w:eastAsia="fr-FR"/>
        </w:rPr>
        <w:t xml:space="preserve">. Aktuell wird die Durchführung einer Themenwerkstatt im Rahmen der </w:t>
      </w:r>
      <w:r w:rsidR="00BD2B51" w:rsidRPr="000E5A31">
        <w:rPr>
          <w:rFonts w:eastAsia="Cambria" w:cs="Arial"/>
          <w:bCs/>
          <w:szCs w:val="22"/>
          <w:lang w:eastAsia="fr-FR"/>
        </w:rPr>
        <w:t>Mitarbeitertagung (</w:t>
      </w:r>
      <w:r w:rsidRPr="000E5A31">
        <w:rPr>
          <w:rFonts w:eastAsia="Cambria" w:cs="Arial"/>
          <w:bCs/>
          <w:szCs w:val="22"/>
          <w:lang w:eastAsia="fr-FR"/>
        </w:rPr>
        <w:t>MATA</w:t>
      </w:r>
      <w:r w:rsidR="00BD2B51" w:rsidRPr="000E5A31">
        <w:rPr>
          <w:rFonts w:eastAsia="Cambria" w:cs="Arial"/>
          <w:bCs/>
          <w:szCs w:val="22"/>
          <w:lang w:eastAsia="fr-FR"/>
        </w:rPr>
        <w:t>)</w:t>
      </w:r>
      <w:r w:rsidRPr="000E5A31">
        <w:rPr>
          <w:rFonts w:eastAsia="Cambria" w:cs="Arial"/>
          <w:bCs/>
          <w:szCs w:val="22"/>
          <w:lang w:eastAsia="fr-FR"/>
        </w:rPr>
        <w:t xml:space="preserve"> </w:t>
      </w:r>
      <w:r w:rsidR="00BD2B51" w:rsidRPr="000E5A31">
        <w:rPr>
          <w:rFonts w:eastAsia="Cambria" w:cs="Arial"/>
          <w:bCs/>
          <w:szCs w:val="22"/>
          <w:lang w:eastAsia="fr-FR"/>
        </w:rPr>
        <w:t xml:space="preserve">der Abt. 4400 </w:t>
      </w:r>
      <w:r w:rsidRPr="000E5A31">
        <w:rPr>
          <w:rFonts w:eastAsia="Cambria" w:cs="Arial"/>
          <w:bCs/>
          <w:szCs w:val="22"/>
          <w:lang w:eastAsia="fr-FR"/>
        </w:rPr>
        <w:t>am 07.05.2015 zum Thema „</w:t>
      </w:r>
      <w:r w:rsidRPr="000E5A31">
        <w:rPr>
          <w:rFonts w:cs="Arial"/>
        </w:rPr>
        <w:t>Internationale Good Practices sozio-ökonomischer Wirkungsoptimierung nachhaltiger Energien: Ansätze, Konzepte und Instrumente für die Arbeit der GIZ“</w:t>
      </w:r>
      <w:r w:rsidRPr="000E5A31">
        <w:rPr>
          <w:rFonts w:cs="Arial"/>
          <w:b/>
        </w:rPr>
        <w:t xml:space="preserve"> </w:t>
      </w:r>
      <w:r w:rsidRPr="000E5A31">
        <w:rPr>
          <w:rFonts w:eastAsia="Cambria" w:cs="Arial"/>
          <w:bCs/>
          <w:szCs w:val="22"/>
          <w:lang w:eastAsia="fr-FR"/>
        </w:rPr>
        <w:t>vorbereitet.</w:t>
      </w:r>
    </w:p>
    <w:p w:rsidR="007F49F8" w:rsidRPr="000E5A31" w:rsidRDefault="007F49F8" w:rsidP="007F49F8">
      <w:pPr>
        <w:spacing w:after="120"/>
        <w:contextualSpacing/>
        <w:jc w:val="both"/>
        <w:rPr>
          <w:rFonts w:eastAsia="Cambria" w:cs="Arial"/>
          <w:bCs/>
          <w:szCs w:val="22"/>
          <w:lang w:eastAsia="fr-FR"/>
        </w:rPr>
      </w:pPr>
    </w:p>
    <w:p w:rsidR="0086485D" w:rsidRPr="000E5A31" w:rsidRDefault="00B45C39" w:rsidP="0086485D">
      <w:pPr>
        <w:spacing w:after="120"/>
        <w:rPr>
          <w:rFonts w:eastAsia="Calibri" w:cs="Arial"/>
          <w:szCs w:val="22"/>
          <w:lang w:eastAsia="en-US"/>
        </w:rPr>
      </w:pPr>
      <w:r w:rsidRPr="000E5A31">
        <w:rPr>
          <w:rFonts w:eastAsia="Calibri" w:cs="Arial"/>
          <w:b/>
          <w:szCs w:val="22"/>
          <w:lang w:eastAsia="en-US"/>
        </w:rPr>
        <w:t>Indikator 5:</w:t>
      </w:r>
      <w:r w:rsidRPr="000E5A31">
        <w:rPr>
          <w:rFonts w:eastAsia="Calibri" w:cs="Arial"/>
          <w:szCs w:val="22"/>
          <w:lang w:eastAsia="en-US"/>
        </w:rPr>
        <w:t xml:space="preserve"> </w:t>
      </w:r>
      <w:r w:rsidRPr="000E5A31">
        <w:rPr>
          <w:rFonts w:cs="Arial"/>
          <w:szCs w:val="22"/>
        </w:rPr>
        <w:t>Entscheidungsrelevante Informationen und strategische Bausteine für die I</w:t>
      </w:r>
      <w:r w:rsidRPr="000E5A31">
        <w:rPr>
          <w:rFonts w:cs="Arial"/>
          <w:szCs w:val="22"/>
        </w:rPr>
        <w:t>n</w:t>
      </w:r>
      <w:r w:rsidRPr="000E5A31">
        <w:rPr>
          <w:rFonts w:cs="Arial"/>
          <w:szCs w:val="22"/>
        </w:rPr>
        <w:t>tegration entwicklungspolitscher Aspekte in die Energiekooperation zwischen Deutschland und den MENA-Staaten liegen vor.</w:t>
      </w:r>
    </w:p>
    <w:p w:rsidR="0086485D" w:rsidRPr="000E5A31" w:rsidRDefault="003B7B92" w:rsidP="007F49F8">
      <w:pPr>
        <w:spacing w:after="120"/>
        <w:contextualSpacing/>
        <w:jc w:val="both"/>
        <w:rPr>
          <w:rFonts w:eastAsia="Cambria" w:cs="Arial"/>
          <w:bCs/>
          <w:szCs w:val="22"/>
          <w:lang w:eastAsia="fr-FR"/>
        </w:rPr>
      </w:pPr>
      <w:r w:rsidRPr="000E5A31">
        <w:rPr>
          <w:rFonts w:eastAsia="Cambria" w:cs="Arial"/>
          <w:bCs/>
          <w:szCs w:val="22"/>
          <w:lang w:eastAsia="fr-FR"/>
        </w:rPr>
        <w:t xml:space="preserve">Auf Anfrage des BMZ leistete das Vorhaben über seinen </w:t>
      </w:r>
      <w:r w:rsidR="00BD2B51" w:rsidRPr="000E5A31">
        <w:rPr>
          <w:rFonts w:eastAsia="Cambria" w:cs="Arial"/>
          <w:bCs/>
          <w:szCs w:val="22"/>
          <w:lang w:eastAsia="fr-FR"/>
        </w:rPr>
        <w:t>Mitarbeiter</w:t>
      </w:r>
      <w:r w:rsidRPr="000E5A31">
        <w:rPr>
          <w:rFonts w:eastAsia="Cambria" w:cs="Arial"/>
          <w:bCs/>
          <w:szCs w:val="22"/>
          <w:lang w:eastAsia="fr-FR"/>
        </w:rPr>
        <w:t xml:space="preserve"> in Bonn im Berichtszei</w:t>
      </w:r>
      <w:r w:rsidRPr="000E5A31">
        <w:rPr>
          <w:rFonts w:eastAsia="Cambria" w:cs="Arial"/>
          <w:bCs/>
          <w:szCs w:val="22"/>
          <w:lang w:eastAsia="fr-FR"/>
        </w:rPr>
        <w:t>t</w:t>
      </w:r>
      <w:r w:rsidRPr="000E5A31">
        <w:rPr>
          <w:rFonts w:eastAsia="Cambria" w:cs="Arial"/>
          <w:bCs/>
          <w:szCs w:val="22"/>
          <w:lang w:eastAsia="fr-FR"/>
        </w:rPr>
        <w:t>raum mehrere Beiträge zur Unterstützung des Ref. 210 bei der Ausgestaltung der energiep</w:t>
      </w:r>
      <w:r w:rsidRPr="000E5A31">
        <w:rPr>
          <w:rFonts w:eastAsia="Cambria" w:cs="Arial"/>
          <w:bCs/>
          <w:szCs w:val="22"/>
          <w:lang w:eastAsia="fr-FR"/>
        </w:rPr>
        <w:t>o</w:t>
      </w:r>
      <w:r w:rsidRPr="000E5A31">
        <w:rPr>
          <w:rFonts w:eastAsia="Cambria" w:cs="Arial"/>
          <w:bCs/>
          <w:szCs w:val="22"/>
          <w:lang w:eastAsia="fr-FR"/>
        </w:rPr>
        <w:t xml:space="preserve">litischen Dimension der deutschen Entwicklungszusammenarbeit mit der MENA Region. Hierzu zählt die </w:t>
      </w:r>
      <w:r w:rsidR="0086485D" w:rsidRPr="000E5A31">
        <w:rPr>
          <w:rFonts w:eastAsia="Cambria" w:cs="Arial"/>
          <w:bCs/>
          <w:szCs w:val="22"/>
          <w:lang w:eastAsia="fr-FR"/>
        </w:rPr>
        <w:t xml:space="preserve">Unterstützung </w:t>
      </w:r>
      <w:r w:rsidRPr="000E5A31">
        <w:rPr>
          <w:rFonts w:eastAsia="Cambria" w:cs="Arial"/>
          <w:bCs/>
          <w:szCs w:val="22"/>
          <w:lang w:eastAsia="fr-FR"/>
        </w:rPr>
        <w:t xml:space="preserve">bei </w:t>
      </w:r>
      <w:r w:rsidR="0086485D" w:rsidRPr="000E5A31">
        <w:rPr>
          <w:rFonts w:eastAsia="Cambria" w:cs="Arial"/>
          <w:bCs/>
          <w:szCs w:val="22"/>
          <w:lang w:eastAsia="fr-FR"/>
        </w:rPr>
        <w:t>der Neustrukturierung der Energiepartnerschaften mit M</w:t>
      </w:r>
      <w:r w:rsidRPr="000E5A31">
        <w:rPr>
          <w:rFonts w:eastAsia="Cambria" w:cs="Arial"/>
          <w:bCs/>
          <w:szCs w:val="22"/>
          <w:lang w:eastAsia="fr-FR"/>
        </w:rPr>
        <w:t>a</w:t>
      </w:r>
      <w:r w:rsidRPr="000E5A31">
        <w:rPr>
          <w:rFonts w:eastAsia="Cambria" w:cs="Arial"/>
          <w:bCs/>
          <w:szCs w:val="22"/>
          <w:lang w:eastAsia="fr-FR"/>
        </w:rPr>
        <w:t xml:space="preserve">rokko </w:t>
      </w:r>
      <w:r w:rsidR="0086485D" w:rsidRPr="000E5A31">
        <w:rPr>
          <w:rFonts w:eastAsia="Cambria" w:cs="Arial"/>
          <w:bCs/>
          <w:szCs w:val="22"/>
          <w:lang w:eastAsia="fr-FR"/>
        </w:rPr>
        <w:t xml:space="preserve">und </w:t>
      </w:r>
      <w:r w:rsidRPr="000E5A31">
        <w:rPr>
          <w:rFonts w:eastAsia="Cambria" w:cs="Arial"/>
          <w:bCs/>
          <w:szCs w:val="22"/>
          <w:lang w:eastAsia="fr-FR"/>
        </w:rPr>
        <w:t xml:space="preserve">Tunesien </w:t>
      </w:r>
      <w:r w:rsidR="0086485D" w:rsidRPr="000E5A31">
        <w:rPr>
          <w:rFonts w:eastAsia="Cambria" w:cs="Arial"/>
          <w:bCs/>
          <w:szCs w:val="22"/>
          <w:lang w:eastAsia="fr-FR"/>
        </w:rPr>
        <w:t>im 2. und 3.Quartal 2014</w:t>
      </w:r>
      <w:r w:rsidRPr="000E5A31">
        <w:rPr>
          <w:rFonts w:eastAsia="Cambria" w:cs="Arial"/>
          <w:bCs/>
          <w:szCs w:val="22"/>
          <w:lang w:eastAsia="fr-FR"/>
        </w:rPr>
        <w:t xml:space="preserve">; die </w:t>
      </w:r>
      <w:r w:rsidR="0086485D" w:rsidRPr="000E5A31">
        <w:rPr>
          <w:rFonts w:eastAsia="Cambria" w:cs="Arial"/>
          <w:bCs/>
          <w:szCs w:val="22"/>
          <w:lang w:eastAsia="fr-FR"/>
        </w:rPr>
        <w:t>Verfassung eines aktualisierten Sachsta</w:t>
      </w:r>
      <w:r w:rsidR="0086485D" w:rsidRPr="000E5A31">
        <w:rPr>
          <w:rFonts w:eastAsia="Cambria" w:cs="Arial"/>
          <w:bCs/>
          <w:szCs w:val="22"/>
          <w:lang w:eastAsia="fr-FR"/>
        </w:rPr>
        <w:t>n</w:t>
      </w:r>
      <w:r w:rsidR="0086485D" w:rsidRPr="000E5A31">
        <w:rPr>
          <w:rFonts w:eastAsia="Cambria" w:cs="Arial"/>
          <w:bCs/>
          <w:szCs w:val="22"/>
          <w:lang w:eastAsia="fr-FR"/>
        </w:rPr>
        <w:t>des zum Thema „Erneuerbare Energien und Energie</w:t>
      </w:r>
      <w:r w:rsidR="00714B11" w:rsidRPr="000E5A31">
        <w:rPr>
          <w:rFonts w:eastAsia="Cambria" w:cs="Arial"/>
          <w:bCs/>
          <w:szCs w:val="22"/>
          <w:lang w:eastAsia="fr-FR"/>
        </w:rPr>
        <w:t>e</w:t>
      </w:r>
      <w:r w:rsidR="0086485D" w:rsidRPr="000E5A31">
        <w:rPr>
          <w:rFonts w:eastAsia="Cambria" w:cs="Arial"/>
          <w:bCs/>
          <w:szCs w:val="22"/>
          <w:lang w:eastAsia="fr-FR"/>
        </w:rPr>
        <w:t>ffizienz in MENA“</w:t>
      </w:r>
      <w:r w:rsidRPr="000E5A31">
        <w:rPr>
          <w:rFonts w:eastAsia="Cambria" w:cs="Arial"/>
          <w:bCs/>
          <w:szCs w:val="22"/>
          <w:lang w:eastAsia="fr-FR"/>
        </w:rPr>
        <w:t xml:space="preserve">; sowie die </w:t>
      </w:r>
      <w:r w:rsidR="0086485D" w:rsidRPr="000E5A31">
        <w:rPr>
          <w:rFonts w:eastAsia="Cambria" w:cs="Arial"/>
          <w:bCs/>
          <w:szCs w:val="22"/>
          <w:lang w:eastAsia="fr-FR"/>
        </w:rPr>
        <w:t>Verfa</w:t>
      </w:r>
      <w:r w:rsidR="0086485D" w:rsidRPr="000E5A31">
        <w:rPr>
          <w:rFonts w:eastAsia="Cambria" w:cs="Arial"/>
          <w:bCs/>
          <w:szCs w:val="22"/>
          <w:lang w:eastAsia="fr-FR"/>
        </w:rPr>
        <w:t>s</w:t>
      </w:r>
      <w:r w:rsidR="0086485D" w:rsidRPr="000E5A31">
        <w:rPr>
          <w:rFonts w:eastAsia="Cambria" w:cs="Arial"/>
          <w:bCs/>
          <w:szCs w:val="22"/>
          <w:lang w:eastAsia="fr-FR"/>
        </w:rPr>
        <w:t xml:space="preserve">sung eines aktualisierten Überblicks über das GIZ </w:t>
      </w:r>
      <w:r w:rsidR="007A16D7" w:rsidRPr="000E5A31">
        <w:rPr>
          <w:rFonts w:eastAsia="Cambria" w:cs="Arial"/>
          <w:bCs/>
          <w:szCs w:val="22"/>
          <w:lang w:eastAsia="fr-FR"/>
        </w:rPr>
        <w:t>und</w:t>
      </w:r>
      <w:r w:rsidR="0086485D" w:rsidRPr="000E5A31">
        <w:rPr>
          <w:rFonts w:eastAsia="Cambria" w:cs="Arial"/>
          <w:bCs/>
          <w:szCs w:val="22"/>
          <w:lang w:eastAsia="fr-FR"/>
        </w:rPr>
        <w:t xml:space="preserve"> KfW Portfolio in MENA in den Bere</w:t>
      </w:r>
      <w:r w:rsidR="0086485D" w:rsidRPr="000E5A31">
        <w:rPr>
          <w:rFonts w:eastAsia="Cambria" w:cs="Arial"/>
          <w:bCs/>
          <w:szCs w:val="22"/>
          <w:lang w:eastAsia="fr-FR"/>
        </w:rPr>
        <w:t>i</w:t>
      </w:r>
      <w:r w:rsidR="0086485D" w:rsidRPr="000E5A31">
        <w:rPr>
          <w:rFonts w:eastAsia="Cambria" w:cs="Arial"/>
          <w:bCs/>
          <w:szCs w:val="22"/>
          <w:lang w:eastAsia="fr-FR"/>
        </w:rPr>
        <w:t>chen Energie, Umwelt</w:t>
      </w:r>
      <w:r w:rsidRPr="000E5A31">
        <w:rPr>
          <w:rFonts w:eastAsia="Cambria" w:cs="Arial"/>
          <w:bCs/>
          <w:szCs w:val="22"/>
          <w:lang w:eastAsia="fr-FR"/>
        </w:rPr>
        <w:t xml:space="preserve"> und</w:t>
      </w:r>
      <w:r w:rsidR="0086485D" w:rsidRPr="000E5A31">
        <w:rPr>
          <w:rFonts w:eastAsia="Cambria" w:cs="Arial"/>
          <w:bCs/>
          <w:szCs w:val="22"/>
          <w:lang w:eastAsia="fr-FR"/>
        </w:rPr>
        <w:t xml:space="preserve"> Na</w:t>
      </w:r>
      <w:r w:rsidRPr="000E5A31">
        <w:rPr>
          <w:rFonts w:eastAsia="Cambria" w:cs="Arial"/>
          <w:bCs/>
          <w:szCs w:val="22"/>
          <w:lang w:eastAsia="fr-FR"/>
        </w:rPr>
        <w:t xml:space="preserve">chhaltige Wirtschaftsentwicklung. </w:t>
      </w:r>
    </w:p>
    <w:p w:rsidR="0086485D" w:rsidRPr="000E5A31" w:rsidRDefault="0086485D" w:rsidP="007D5F43">
      <w:pPr>
        <w:spacing w:after="120"/>
        <w:rPr>
          <w:rFonts w:cs="Arial"/>
          <w:szCs w:val="22"/>
        </w:rPr>
      </w:pPr>
    </w:p>
    <w:p w:rsidR="00415D96" w:rsidRPr="000E5A31" w:rsidRDefault="00836FF6" w:rsidP="000C5AD2">
      <w:pPr>
        <w:pStyle w:val="berschrift2"/>
        <w:rPr>
          <w:b/>
          <w:i/>
        </w:rPr>
      </w:pPr>
      <w:bookmarkStart w:id="15" w:name="_Toc396989043"/>
      <w:r w:rsidRPr="000E5A31">
        <w:rPr>
          <w:b/>
          <w:i/>
        </w:rPr>
        <w:lastRenderedPageBreak/>
        <w:t>B.</w:t>
      </w:r>
      <w:r w:rsidR="00415D96" w:rsidRPr="000E5A31">
        <w:rPr>
          <w:b/>
          <w:i/>
        </w:rPr>
        <w:t>2</w:t>
      </w:r>
      <w:r w:rsidRPr="000E5A31">
        <w:rPr>
          <w:b/>
          <w:i/>
        </w:rPr>
        <w:t>.4</w:t>
      </w:r>
      <w:r w:rsidR="00415D96" w:rsidRPr="000E5A31">
        <w:rPr>
          <w:b/>
          <w:i/>
        </w:rPr>
        <w:tab/>
      </w:r>
      <w:r w:rsidR="00C85B6B" w:rsidRPr="000E5A31">
        <w:rPr>
          <w:b/>
          <w:i/>
        </w:rPr>
        <w:t>Wirkungen</w:t>
      </w:r>
      <w:bookmarkEnd w:id="15"/>
    </w:p>
    <w:p w:rsidR="00CD09C5" w:rsidRPr="000E5A31" w:rsidRDefault="00CD09C5" w:rsidP="00CD09C5">
      <w:pPr>
        <w:spacing w:after="120"/>
        <w:rPr>
          <w:rFonts w:eastAsia="Calibri" w:cs="Arial"/>
          <w:szCs w:val="22"/>
          <w:lang w:eastAsia="en-US"/>
        </w:rPr>
      </w:pPr>
      <w:r w:rsidRPr="000E5A31">
        <w:rPr>
          <w:rFonts w:eastAsia="Calibri" w:cs="Arial"/>
          <w:szCs w:val="22"/>
          <w:lang w:eastAsia="en-US"/>
        </w:rPr>
        <w:t xml:space="preserve">Trotz einiger Anlaufschwierigkeiten hat sich das Vorhaben </w:t>
      </w:r>
      <w:r w:rsidR="00075BC1" w:rsidRPr="000E5A31">
        <w:rPr>
          <w:rFonts w:eastAsia="Calibri" w:cs="Arial"/>
          <w:szCs w:val="22"/>
          <w:lang w:eastAsia="en-US"/>
        </w:rPr>
        <w:t>insgesamt</w:t>
      </w:r>
      <w:r w:rsidRPr="000E5A31">
        <w:rPr>
          <w:rFonts w:eastAsia="Calibri" w:cs="Arial"/>
          <w:szCs w:val="22"/>
          <w:lang w:eastAsia="en-US"/>
        </w:rPr>
        <w:t xml:space="preserve"> gut entwickelt:</w:t>
      </w:r>
    </w:p>
    <w:p w:rsidR="004733A8" w:rsidRPr="000E5A31" w:rsidRDefault="00C85B6B" w:rsidP="004733A8">
      <w:pPr>
        <w:spacing w:after="120"/>
        <w:contextualSpacing/>
        <w:rPr>
          <w:rFonts w:eastAsia="Calibri" w:cs="Arial"/>
          <w:szCs w:val="22"/>
          <w:lang w:eastAsia="en-US"/>
        </w:rPr>
      </w:pPr>
      <w:r w:rsidRPr="000E5A31">
        <w:rPr>
          <w:rFonts w:eastAsia="Calibri" w:cs="Arial"/>
          <w:szCs w:val="22"/>
          <w:lang w:eastAsia="en-US"/>
        </w:rPr>
        <w:t>Herstellung der Arbeitsinfrastruktur:</w:t>
      </w:r>
      <w:r w:rsidR="004733A8" w:rsidRPr="000E5A31">
        <w:rPr>
          <w:rFonts w:eastAsia="Calibri" w:cs="Arial"/>
          <w:szCs w:val="22"/>
          <w:lang w:eastAsia="en-US"/>
        </w:rPr>
        <w:t xml:space="preserve"> </w:t>
      </w:r>
      <w:r w:rsidR="00CD09C5" w:rsidRPr="000E5A31">
        <w:rPr>
          <w:rFonts w:eastAsia="Calibri" w:cs="Arial"/>
          <w:szCs w:val="22"/>
          <w:lang w:eastAsia="en-US"/>
        </w:rPr>
        <w:t xml:space="preserve">Die </w:t>
      </w:r>
      <w:r w:rsidRPr="000E5A31">
        <w:rPr>
          <w:rFonts w:eastAsia="Calibri" w:cs="Arial"/>
          <w:szCs w:val="22"/>
          <w:lang w:eastAsia="en-US"/>
        </w:rPr>
        <w:t>Grundlagen</w:t>
      </w:r>
      <w:r w:rsidR="00CD09C5" w:rsidRPr="000E5A31">
        <w:rPr>
          <w:rFonts w:eastAsia="Calibri" w:cs="Arial"/>
          <w:szCs w:val="22"/>
          <w:lang w:eastAsia="en-US"/>
        </w:rPr>
        <w:t xml:space="preserve"> für die Umsetzung des Projekts steh</w:t>
      </w:r>
      <w:r w:rsidR="00C03506">
        <w:rPr>
          <w:rFonts w:eastAsia="Calibri" w:cs="Arial"/>
          <w:szCs w:val="22"/>
          <w:lang w:eastAsia="en-US"/>
        </w:rPr>
        <w:t>en</w:t>
      </w:r>
      <w:r w:rsidR="00CD09C5" w:rsidRPr="000E5A31">
        <w:rPr>
          <w:rFonts w:eastAsia="Calibri" w:cs="Arial"/>
          <w:szCs w:val="22"/>
          <w:lang w:eastAsia="en-US"/>
        </w:rPr>
        <w:t xml:space="preserve"> nach einem Jahr</w:t>
      </w:r>
      <w:r w:rsidR="004733A8" w:rsidRPr="000E5A31">
        <w:rPr>
          <w:rFonts w:eastAsia="Calibri" w:cs="Arial"/>
          <w:szCs w:val="22"/>
          <w:lang w:eastAsia="en-US"/>
        </w:rPr>
        <w:t xml:space="preserve"> Laufzeit</w:t>
      </w:r>
      <w:r w:rsidR="00075BC1" w:rsidRPr="000E5A31">
        <w:rPr>
          <w:rFonts w:eastAsia="Calibri" w:cs="Arial"/>
          <w:szCs w:val="22"/>
          <w:lang w:eastAsia="en-US"/>
        </w:rPr>
        <w:t>.</w:t>
      </w:r>
      <w:r w:rsidR="00CD09C5" w:rsidRPr="000E5A31">
        <w:rPr>
          <w:rFonts w:eastAsia="Calibri" w:cs="Arial"/>
          <w:szCs w:val="22"/>
          <w:lang w:eastAsia="en-US"/>
        </w:rPr>
        <w:t xml:space="preserve"> Die Büros und Teams in Bonn, Rabat und Tunis sind jeweils seit April, September und Februar operativ</w:t>
      </w:r>
      <w:r w:rsidR="00BD2B51" w:rsidRPr="000E5A31">
        <w:rPr>
          <w:rFonts w:eastAsia="Calibri" w:cs="Arial"/>
          <w:szCs w:val="22"/>
          <w:lang w:eastAsia="en-US"/>
        </w:rPr>
        <w:t xml:space="preserve">. Die beiden Teams in Rabat und Tunis werden aktuell weiter ausgebaut, währen die Mitarbeit des Mitarbeiters in Bonn </w:t>
      </w:r>
      <w:r w:rsidR="00CD09C5" w:rsidRPr="000E5A31">
        <w:rPr>
          <w:rFonts w:eastAsia="Calibri" w:cs="Arial"/>
          <w:szCs w:val="22"/>
          <w:lang w:eastAsia="en-US"/>
        </w:rPr>
        <w:t xml:space="preserve">seit </w:t>
      </w:r>
      <w:r w:rsidR="00BD2B51" w:rsidRPr="000E5A31">
        <w:rPr>
          <w:rFonts w:eastAsia="Calibri" w:cs="Arial"/>
          <w:szCs w:val="22"/>
          <w:lang w:eastAsia="en-US"/>
        </w:rPr>
        <w:t xml:space="preserve">dem </w:t>
      </w:r>
      <w:r w:rsidR="00CD09C5" w:rsidRPr="000E5A31">
        <w:rPr>
          <w:rFonts w:eastAsia="Calibri" w:cs="Arial"/>
          <w:szCs w:val="22"/>
          <w:lang w:eastAsia="en-US"/>
        </w:rPr>
        <w:t xml:space="preserve">01.05.2015 </w:t>
      </w:r>
      <w:r w:rsidR="00BD2B51" w:rsidRPr="000E5A31">
        <w:rPr>
          <w:rFonts w:eastAsia="Calibri" w:cs="Arial"/>
          <w:szCs w:val="22"/>
          <w:lang w:eastAsia="en-US"/>
        </w:rPr>
        <w:t>gemäß Absprache auf 50% reduziert wurde</w:t>
      </w:r>
      <w:r w:rsidR="00CD09C5" w:rsidRPr="000E5A31">
        <w:rPr>
          <w:rFonts w:eastAsia="Calibri" w:cs="Arial"/>
          <w:szCs w:val="22"/>
          <w:lang w:eastAsia="en-US"/>
        </w:rPr>
        <w:t xml:space="preserve">. Mit RCREEE wurde </w:t>
      </w:r>
      <w:r w:rsidR="00714B11" w:rsidRPr="000E5A31">
        <w:rPr>
          <w:rFonts w:eastAsia="Calibri" w:cs="Arial"/>
          <w:szCs w:val="22"/>
          <w:lang w:eastAsia="en-US"/>
        </w:rPr>
        <w:t>vereinbart</w:t>
      </w:r>
      <w:r w:rsidR="00CD09C5" w:rsidRPr="000E5A31">
        <w:rPr>
          <w:rFonts w:eastAsia="Calibri" w:cs="Arial"/>
          <w:szCs w:val="22"/>
          <w:lang w:eastAsia="en-US"/>
        </w:rPr>
        <w:t>, dass es neben der Z</w:t>
      </w:r>
      <w:r w:rsidR="00CD09C5" w:rsidRPr="000E5A31">
        <w:rPr>
          <w:rFonts w:eastAsia="Calibri" w:cs="Arial"/>
          <w:szCs w:val="22"/>
          <w:lang w:eastAsia="en-US"/>
        </w:rPr>
        <w:t>u</w:t>
      </w:r>
      <w:r w:rsidR="00CD09C5" w:rsidRPr="000E5A31">
        <w:rPr>
          <w:rFonts w:eastAsia="Calibri" w:cs="Arial"/>
          <w:szCs w:val="22"/>
          <w:lang w:eastAsia="en-US"/>
        </w:rPr>
        <w:t>sammenarbeit auf regionaler Ebene auch als Antenne für Ägypten fungieren wird. Finanzi</w:t>
      </w:r>
      <w:r w:rsidR="00CD09C5" w:rsidRPr="000E5A31">
        <w:rPr>
          <w:rFonts w:eastAsia="Calibri" w:cs="Arial"/>
          <w:szCs w:val="22"/>
          <w:lang w:eastAsia="en-US"/>
        </w:rPr>
        <w:t>e</w:t>
      </w:r>
      <w:r w:rsidR="00CD09C5" w:rsidRPr="000E5A31">
        <w:rPr>
          <w:rFonts w:eastAsia="Calibri" w:cs="Arial"/>
          <w:szCs w:val="22"/>
          <w:lang w:eastAsia="en-US"/>
        </w:rPr>
        <w:t xml:space="preserve">rung erfolgt im Rahmen eines </w:t>
      </w:r>
      <w:r w:rsidR="00075BC1" w:rsidRPr="000E5A31">
        <w:rPr>
          <w:rFonts w:eastAsia="Calibri" w:cs="Arial"/>
          <w:szCs w:val="22"/>
          <w:lang w:eastAsia="en-US"/>
        </w:rPr>
        <w:t xml:space="preserve">Finanzierungsvertrags </w:t>
      </w:r>
      <w:r w:rsidR="00CD09C5" w:rsidRPr="000E5A31">
        <w:rPr>
          <w:rFonts w:eastAsia="Calibri" w:cs="Arial"/>
          <w:szCs w:val="22"/>
          <w:lang w:eastAsia="en-US"/>
        </w:rPr>
        <w:t>(Unterzeichnung am 31.05.2015).</w:t>
      </w:r>
      <w:r w:rsidR="004733A8" w:rsidRPr="000E5A31">
        <w:rPr>
          <w:rFonts w:eastAsia="Calibri" w:cs="Arial"/>
          <w:szCs w:val="22"/>
          <w:lang w:eastAsia="en-US"/>
        </w:rPr>
        <w:t xml:space="preserve"> </w:t>
      </w:r>
    </w:p>
    <w:p w:rsidR="004733A8" w:rsidRPr="000E5A31" w:rsidRDefault="004733A8" w:rsidP="004733A8">
      <w:pPr>
        <w:spacing w:after="120"/>
        <w:contextualSpacing/>
        <w:rPr>
          <w:rFonts w:eastAsia="Calibri" w:cs="Arial"/>
          <w:szCs w:val="22"/>
          <w:lang w:eastAsia="en-US"/>
        </w:rPr>
      </w:pPr>
    </w:p>
    <w:p w:rsidR="00CD09C5" w:rsidRPr="000E5A31" w:rsidRDefault="00C85B6B" w:rsidP="004733A8">
      <w:pPr>
        <w:spacing w:after="120"/>
        <w:contextualSpacing/>
        <w:rPr>
          <w:rFonts w:eastAsia="Calibri" w:cs="Arial"/>
          <w:szCs w:val="22"/>
          <w:lang w:eastAsia="en-US"/>
        </w:rPr>
      </w:pPr>
      <w:r w:rsidRPr="000E5A31">
        <w:rPr>
          <w:rFonts w:eastAsia="Calibri" w:cs="Arial"/>
          <w:szCs w:val="22"/>
          <w:lang w:eastAsia="en-US"/>
        </w:rPr>
        <w:t>Herstellung der Kooperationsbeziehungen:</w:t>
      </w:r>
      <w:r w:rsidR="004733A8" w:rsidRPr="000E5A31">
        <w:rPr>
          <w:rFonts w:eastAsia="Calibri" w:cs="Arial"/>
          <w:szCs w:val="22"/>
          <w:lang w:eastAsia="en-US"/>
        </w:rPr>
        <w:t xml:space="preserve"> </w:t>
      </w:r>
      <w:r w:rsidR="00CD09C5" w:rsidRPr="000E5A31">
        <w:rPr>
          <w:rFonts w:eastAsia="Calibri" w:cs="Arial"/>
          <w:szCs w:val="22"/>
          <w:lang w:eastAsia="en-US"/>
        </w:rPr>
        <w:t xml:space="preserve">Es konnten </w:t>
      </w:r>
      <w:r w:rsidRPr="000E5A31">
        <w:rPr>
          <w:rFonts w:eastAsia="Calibri" w:cs="Arial"/>
          <w:szCs w:val="22"/>
          <w:lang w:eastAsia="en-US"/>
        </w:rPr>
        <w:t>Abstimmungsgespräche</w:t>
      </w:r>
      <w:r w:rsidR="00CD09C5" w:rsidRPr="000E5A31">
        <w:rPr>
          <w:rFonts w:eastAsia="Calibri" w:cs="Arial"/>
          <w:szCs w:val="22"/>
          <w:lang w:eastAsia="en-US"/>
        </w:rPr>
        <w:t xml:space="preserve"> mit einem Großteil der relevanten GIZ/EZ Projekte in der Region und im Inland durchgeführt werden (ca. 30 von insgesamt ca. 40). </w:t>
      </w:r>
      <w:r w:rsidR="00C03506">
        <w:rPr>
          <w:rFonts w:eastAsia="Calibri" w:cs="Arial"/>
          <w:szCs w:val="22"/>
          <w:lang w:eastAsia="en-US"/>
        </w:rPr>
        <w:t>A</w:t>
      </w:r>
      <w:r w:rsidR="00CD09C5" w:rsidRPr="000E5A31">
        <w:rPr>
          <w:rFonts w:eastAsia="Calibri" w:cs="Arial"/>
          <w:szCs w:val="22"/>
          <w:lang w:eastAsia="en-US"/>
        </w:rPr>
        <w:t>m 16.11.</w:t>
      </w:r>
      <w:r w:rsidR="00C03506">
        <w:rPr>
          <w:rFonts w:eastAsia="Calibri" w:cs="Arial"/>
          <w:szCs w:val="22"/>
          <w:lang w:eastAsia="en-US"/>
        </w:rPr>
        <w:t>2014</w:t>
      </w:r>
      <w:r w:rsidR="00CD09C5" w:rsidRPr="000E5A31">
        <w:rPr>
          <w:rFonts w:eastAsia="Calibri" w:cs="Arial"/>
          <w:szCs w:val="22"/>
          <w:lang w:eastAsia="en-US"/>
        </w:rPr>
        <w:t xml:space="preserve"> </w:t>
      </w:r>
      <w:r w:rsidR="00C03506">
        <w:rPr>
          <w:rFonts w:eastAsia="Calibri" w:cs="Arial"/>
          <w:szCs w:val="22"/>
          <w:lang w:eastAsia="en-US"/>
        </w:rPr>
        <w:t xml:space="preserve">fand ein </w:t>
      </w:r>
      <w:r w:rsidR="00C03506" w:rsidRPr="000E5A31">
        <w:rPr>
          <w:rFonts w:eastAsia="Calibri" w:cs="Arial"/>
          <w:szCs w:val="22"/>
          <w:lang w:eastAsia="en-US"/>
        </w:rPr>
        <w:t xml:space="preserve">Treffen mit RCREEE </w:t>
      </w:r>
      <w:r w:rsidR="00CD09C5" w:rsidRPr="000E5A31">
        <w:rPr>
          <w:rFonts w:eastAsia="Calibri" w:cs="Arial"/>
          <w:szCs w:val="22"/>
          <w:lang w:eastAsia="en-US"/>
        </w:rPr>
        <w:t>in Kairo</w:t>
      </w:r>
      <w:r w:rsidR="00C03506">
        <w:rPr>
          <w:rFonts w:eastAsia="Calibri" w:cs="Arial"/>
          <w:szCs w:val="22"/>
          <w:lang w:eastAsia="en-US"/>
        </w:rPr>
        <w:t xml:space="preserve"> statt</w:t>
      </w:r>
      <w:r w:rsidR="00CD09C5" w:rsidRPr="000E5A31">
        <w:rPr>
          <w:rFonts w:eastAsia="Calibri" w:cs="Arial"/>
          <w:szCs w:val="22"/>
          <w:lang w:eastAsia="en-US"/>
        </w:rPr>
        <w:t xml:space="preserve">, </w:t>
      </w:r>
      <w:r w:rsidR="00C03506">
        <w:rPr>
          <w:rFonts w:eastAsia="Calibri" w:cs="Arial"/>
          <w:szCs w:val="22"/>
          <w:lang w:eastAsia="en-US"/>
        </w:rPr>
        <w:t xml:space="preserve">gefolgt von </w:t>
      </w:r>
      <w:r w:rsidR="00CD09C5" w:rsidRPr="000E5A31">
        <w:rPr>
          <w:rFonts w:eastAsia="Calibri" w:cs="Arial"/>
          <w:szCs w:val="22"/>
          <w:lang w:eastAsia="en-US"/>
        </w:rPr>
        <w:t>mehrere</w:t>
      </w:r>
      <w:r w:rsidR="00C03506">
        <w:rPr>
          <w:rFonts w:eastAsia="Calibri" w:cs="Arial"/>
          <w:szCs w:val="22"/>
          <w:lang w:eastAsia="en-US"/>
        </w:rPr>
        <w:t>n</w:t>
      </w:r>
      <w:r w:rsidR="00CD09C5" w:rsidRPr="000E5A31">
        <w:rPr>
          <w:rFonts w:eastAsia="Calibri" w:cs="Arial"/>
          <w:szCs w:val="22"/>
          <w:lang w:eastAsia="en-US"/>
        </w:rPr>
        <w:t xml:space="preserve"> Vertiefungsgespräche</w:t>
      </w:r>
      <w:r w:rsidR="00C03506">
        <w:rPr>
          <w:rFonts w:eastAsia="Calibri" w:cs="Arial"/>
          <w:szCs w:val="22"/>
          <w:lang w:eastAsia="en-US"/>
        </w:rPr>
        <w:t>n</w:t>
      </w:r>
      <w:r w:rsidR="00CD09C5" w:rsidRPr="000E5A31">
        <w:rPr>
          <w:rFonts w:eastAsia="Calibri" w:cs="Arial"/>
          <w:szCs w:val="22"/>
          <w:lang w:eastAsia="en-US"/>
        </w:rPr>
        <w:t xml:space="preserve"> am Rande internationaler Tagungen. Es kon</w:t>
      </w:r>
      <w:r w:rsidR="00CD09C5" w:rsidRPr="000E5A31">
        <w:rPr>
          <w:rFonts w:eastAsia="Calibri" w:cs="Arial"/>
          <w:szCs w:val="22"/>
          <w:lang w:eastAsia="en-US"/>
        </w:rPr>
        <w:t>n</w:t>
      </w:r>
      <w:r w:rsidR="00CD09C5" w:rsidRPr="000E5A31">
        <w:rPr>
          <w:rFonts w:eastAsia="Calibri" w:cs="Arial"/>
          <w:szCs w:val="22"/>
          <w:lang w:eastAsia="en-US"/>
        </w:rPr>
        <w:t>te rasch Übereinstimmung über den Mehrwert von RE-</w:t>
      </w:r>
      <w:r w:rsidR="00075BC1" w:rsidRPr="000E5A31">
        <w:rPr>
          <w:rFonts w:eastAsia="Calibri" w:cs="Arial"/>
          <w:szCs w:val="22"/>
          <w:lang w:eastAsia="en-US"/>
        </w:rPr>
        <w:t xml:space="preserve">ACTIVATE </w:t>
      </w:r>
      <w:r w:rsidR="00CD09C5" w:rsidRPr="000E5A31">
        <w:rPr>
          <w:rFonts w:eastAsia="Calibri" w:cs="Arial"/>
          <w:szCs w:val="22"/>
          <w:lang w:eastAsia="en-US"/>
        </w:rPr>
        <w:t>sowie über Kooperation</w:t>
      </w:r>
      <w:r w:rsidR="00CD09C5" w:rsidRPr="000E5A31">
        <w:rPr>
          <w:rFonts w:eastAsia="Calibri" w:cs="Arial"/>
          <w:szCs w:val="22"/>
          <w:lang w:eastAsia="en-US"/>
        </w:rPr>
        <w:t>s</w:t>
      </w:r>
      <w:r w:rsidR="00CD09C5" w:rsidRPr="000E5A31">
        <w:rPr>
          <w:rFonts w:eastAsia="Calibri" w:cs="Arial"/>
          <w:szCs w:val="22"/>
          <w:lang w:eastAsia="en-US"/>
        </w:rPr>
        <w:t xml:space="preserve">potentiale und </w:t>
      </w:r>
      <w:r w:rsidR="00075BC1" w:rsidRPr="000E5A31">
        <w:rPr>
          <w:rFonts w:eastAsia="Calibri" w:cs="Arial"/>
          <w:szCs w:val="22"/>
          <w:lang w:eastAsia="en-US"/>
        </w:rPr>
        <w:t>-</w:t>
      </w:r>
      <w:r w:rsidR="00CD09C5" w:rsidRPr="000E5A31">
        <w:rPr>
          <w:rFonts w:eastAsia="Calibri" w:cs="Arial"/>
          <w:szCs w:val="22"/>
          <w:lang w:eastAsia="en-US"/>
        </w:rPr>
        <w:t>formate mit den anderen Vorhaben und deren Partnern erzielt werden</w:t>
      </w:r>
      <w:r w:rsidR="004733A8" w:rsidRPr="000E5A31">
        <w:rPr>
          <w:rFonts w:eastAsia="Calibri" w:cs="Arial"/>
          <w:szCs w:val="22"/>
          <w:lang w:eastAsia="en-US"/>
        </w:rPr>
        <w:t xml:space="preserve"> (s.o.)</w:t>
      </w:r>
      <w:r w:rsidR="00CD09C5" w:rsidRPr="000E5A31">
        <w:rPr>
          <w:rFonts w:eastAsia="Calibri" w:cs="Arial"/>
          <w:szCs w:val="22"/>
          <w:lang w:eastAsia="en-US"/>
        </w:rPr>
        <w:t>.</w:t>
      </w:r>
    </w:p>
    <w:p w:rsidR="004733A8" w:rsidRPr="000E5A31" w:rsidRDefault="004733A8" w:rsidP="004733A8">
      <w:pPr>
        <w:spacing w:after="120"/>
        <w:contextualSpacing/>
        <w:rPr>
          <w:rFonts w:eastAsia="Calibri" w:cs="Arial"/>
          <w:b/>
          <w:szCs w:val="22"/>
          <w:lang w:eastAsia="en-US"/>
        </w:rPr>
      </w:pPr>
    </w:p>
    <w:p w:rsidR="00C06D82" w:rsidRPr="000E5A31" w:rsidRDefault="00C85B6B" w:rsidP="00C06D82">
      <w:pPr>
        <w:autoSpaceDE w:val="0"/>
        <w:autoSpaceDN w:val="0"/>
        <w:adjustRightInd w:val="0"/>
        <w:spacing w:after="120"/>
        <w:rPr>
          <w:rFonts w:cs="Arial"/>
          <w:szCs w:val="22"/>
        </w:rPr>
      </w:pPr>
      <w:r w:rsidRPr="000E5A31">
        <w:rPr>
          <w:rFonts w:eastAsia="Calibri" w:cs="Arial"/>
          <w:szCs w:val="22"/>
          <w:lang w:eastAsia="en-US"/>
        </w:rPr>
        <w:t>Herstellung der Steuerungsstruktur:</w:t>
      </w:r>
      <w:r w:rsidR="003B7B92" w:rsidRPr="000E5A31">
        <w:rPr>
          <w:rFonts w:eastAsia="Calibri" w:cs="Arial"/>
          <w:szCs w:val="22"/>
          <w:lang w:eastAsia="en-US"/>
        </w:rPr>
        <w:t xml:space="preserve"> Die Entwicklung einer leistungsfähigen und angepassten Steuerungsstruktur ist bei einem Regionalvorhaben – und in</w:t>
      </w:r>
      <w:r w:rsidR="00C06D82" w:rsidRPr="000E5A31">
        <w:rPr>
          <w:rFonts w:eastAsia="Calibri" w:cs="Arial"/>
          <w:szCs w:val="22"/>
          <w:lang w:eastAsia="en-US"/>
        </w:rPr>
        <w:t>s</w:t>
      </w:r>
      <w:r w:rsidR="003B7B92" w:rsidRPr="000E5A31">
        <w:rPr>
          <w:rFonts w:eastAsia="Calibri" w:cs="Arial"/>
          <w:szCs w:val="22"/>
          <w:lang w:eastAsia="en-US"/>
        </w:rPr>
        <w:t>b</w:t>
      </w:r>
      <w:r w:rsidR="00C06D82" w:rsidRPr="000E5A31">
        <w:rPr>
          <w:rFonts w:eastAsia="Calibri" w:cs="Arial"/>
          <w:szCs w:val="22"/>
          <w:lang w:eastAsia="en-US"/>
        </w:rPr>
        <w:t>e</w:t>
      </w:r>
      <w:r w:rsidR="003B7B92" w:rsidRPr="000E5A31">
        <w:rPr>
          <w:rFonts w:eastAsia="Calibri" w:cs="Arial"/>
          <w:szCs w:val="22"/>
          <w:lang w:eastAsia="en-US"/>
        </w:rPr>
        <w:t>sondere bei einem sekt</w:t>
      </w:r>
      <w:r w:rsidR="003B7B92" w:rsidRPr="000E5A31">
        <w:rPr>
          <w:rFonts w:eastAsia="Calibri" w:cs="Arial"/>
          <w:szCs w:val="22"/>
          <w:lang w:eastAsia="en-US"/>
        </w:rPr>
        <w:t>o</w:t>
      </w:r>
      <w:r w:rsidR="003B7B92" w:rsidRPr="000E5A31">
        <w:rPr>
          <w:rFonts w:eastAsia="Calibri" w:cs="Arial"/>
          <w:szCs w:val="22"/>
          <w:lang w:eastAsia="en-US"/>
        </w:rPr>
        <w:t xml:space="preserve">rübergreifenden wie RE-ACTIVATE </w:t>
      </w:r>
      <w:r w:rsidR="00075BC1" w:rsidRPr="000E5A31">
        <w:rPr>
          <w:rFonts w:eastAsia="Calibri" w:cs="Arial"/>
          <w:szCs w:val="22"/>
          <w:lang w:eastAsia="en-US"/>
        </w:rPr>
        <w:t xml:space="preserve">– eine </w:t>
      </w:r>
      <w:r w:rsidR="003B7B92" w:rsidRPr="000E5A31">
        <w:rPr>
          <w:rFonts w:eastAsia="Calibri" w:cs="Arial"/>
          <w:szCs w:val="22"/>
          <w:lang w:eastAsia="en-US"/>
        </w:rPr>
        <w:t xml:space="preserve">besonders große Herausforderung. Seit Sommer 2014 wurde gemeinsam mit den Mitarbeitern eine Operationsplanung entwickelt, die im </w:t>
      </w:r>
      <w:r w:rsidR="00714B11" w:rsidRPr="000E5A31">
        <w:rPr>
          <w:rFonts w:eastAsia="Calibri" w:cs="Arial"/>
          <w:szCs w:val="22"/>
          <w:lang w:eastAsia="en-US"/>
        </w:rPr>
        <w:t>Fo</w:t>
      </w:r>
      <w:r w:rsidR="00714B11" w:rsidRPr="000E5A31">
        <w:rPr>
          <w:rFonts w:eastAsia="Calibri" w:cs="Arial"/>
          <w:szCs w:val="22"/>
          <w:lang w:eastAsia="en-US"/>
        </w:rPr>
        <w:t>l</w:t>
      </w:r>
      <w:r w:rsidR="00714B11" w:rsidRPr="000E5A31">
        <w:rPr>
          <w:rFonts w:eastAsia="Calibri" w:cs="Arial"/>
          <w:szCs w:val="22"/>
          <w:lang w:eastAsia="en-US"/>
        </w:rPr>
        <w:t>genden</w:t>
      </w:r>
      <w:r w:rsidR="003B7B92" w:rsidRPr="000E5A31">
        <w:rPr>
          <w:rFonts w:eastAsia="Calibri" w:cs="Arial"/>
          <w:szCs w:val="22"/>
          <w:lang w:eastAsia="en-US"/>
        </w:rPr>
        <w:t xml:space="preserve"> immer wieder an die sich ändernden Rahmenbedingungen in der Region sowie an die kontinuierliche Weiterentwicklung des Vorhabens angepasst wurde. </w:t>
      </w:r>
      <w:r w:rsidR="00604D85" w:rsidRPr="000E5A31">
        <w:rPr>
          <w:rFonts w:eastAsia="Calibri" w:cs="Arial"/>
          <w:szCs w:val="22"/>
          <w:lang w:eastAsia="en-US"/>
        </w:rPr>
        <w:t xml:space="preserve">Eine zentrale Rolle spielt </w:t>
      </w:r>
      <w:r w:rsidR="00714B11" w:rsidRPr="000E5A31">
        <w:rPr>
          <w:rFonts w:eastAsia="Calibri" w:cs="Arial"/>
          <w:szCs w:val="22"/>
          <w:lang w:eastAsia="en-US"/>
        </w:rPr>
        <w:t>insbesondere</w:t>
      </w:r>
      <w:r w:rsidR="00CD09C5" w:rsidRPr="000E5A31">
        <w:rPr>
          <w:rFonts w:eastAsia="Cambria" w:cs="Arial"/>
          <w:bCs/>
          <w:szCs w:val="22"/>
          <w:lang w:eastAsia="fr-FR"/>
        </w:rPr>
        <w:t xml:space="preserve"> die neue interaktive (wikibasierte) Internetplattform des Vorhabens</w:t>
      </w:r>
      <w:r w:rsidR="00604D85" w:rsidRPr="000E5A31">
        <w:rPr>
          <w:rFonts w:eastAsia="Cambria" w:cs="Arial"/>
          <w:bCs/>
          <w:szCs w:val="22"/>
          <w:lang w:eastAsia="fr-FR"/>
        </w:rPr>
        <w:t xml:space="preserve">, die </w:t>
      </w:r>
      <w:r w:rsidR="00CD09C5" w:rsidRPr="000E5A31">
        <w:rPr>
          <w:rFonts w:eastAsia="Cambria" w:cs="Arial"/>
          <w:bCs/>
          <w:szCs w:val="22"/>
          <w:lang w:eastAsia="fr-FR"/>
        </w:rPr>
        <w:t xml:space="preserve">auf Energypedia </w:t>
      </w:r>
      <w:r w:rsidR="00604D85" w:rsidRPr="000E5A31">
        <w:rPr>
          <w:rFonts w:eastAsia="Cambria" w:cs="Arial"/>
          <w:bCs/>
          <w:szCs w:val="22"/>
          <w:lang w:eastAsia="fr-FR"/>
        </w:rPr>
        <w:t xml:space="preserve">angesiedelt und seit Februar 2015 </w:t>
      </w:r>
      <w:r w:rsidR="00CD09C5" w:rsidRPr="000E5A31">
        <w:rPr>
          <w:rFonts w:eastAsia="Cambria" w:cs="Arial"/>
          <w:bCs/>
          <w:szCs w:val="22"/>
          <w:lang w:eastAsia="fr-FR"/>
        </w:rPr>
        <w:t>operationell</w:t>
      </w:r>
      <w:r w:rsidR="00604D85" w:rsidRPr="000E5A31">
        <w:rPr>
          <w:rFonts w:eastAsia="Cambria" w:cs="Arial"/>
          <w:bCs/>
          <w:szCs w:val="22"/>
          <w:lang w:eastAsia="fr-FR"/>
        </w:rPr>
        <w:t xml:space="preserve"> ist</w:t>
      </w:r>
      <w:r w:rsidR="00CD09C5" w:rsidRPr="000E5A31">
        <w:rPr>
          <w:rFonts w:eastAsia="Cambria" w:cs="Arial"/>
          <w:bCs/>
          <w:szCs w:val="22"/>
          <w:lang w:eastAsia="fr-FR"/>
        </w:rPr>
        <w:t xml:space="preserve">. </w:t>
      </w:r>
      <w:r w:rsidR="00C06D82" w:rsidRPr="000E5A31">
        <w:rPr>
          <w:rFonts w:eastAsia="Cambria" w:cs="Arial"/>
          <w:bCs/>
          <w:szCs w:val="22"/>
          <w:lang w:eastAsia="fr-FR"/>
        </w:rPr>
        <w:t xml:space="preserve">Hier werden </w:t>
      </w:r>
      <w:r w:rsidR="00C06D82" w:rsidRPr="000E5A31">
        <w:rPr>
          <w:rFonts w:cs="Arial"/>
          <w:szCs w:val="22"/>
        </w:rPr>
        <w:t>Informati</w:t>
      </w:r>
      <w:r w:rsidR="00C06D82" w:rsidRPr="000E5A31">
        <w:rPr>
          <w:rFonts w:cs="Arial"/>
          <w:szCs w:val="22"/>
        </w:rPr>
        <w:t>o</w:t>
      </w:r>
      <w:r w:rsidR="00C06D82" w:rsidRPr="000E5A31">
        <w:rPr>
          <w:rFonts w:cs="Arial"/>
          <w:szCs w:val="22"/>
        </w:rPr>
        <w:t>nen über die Aktivitäten des Vorhabens sowie über den Nexusbereich Energie – Beschäft</w:t>
      </w:r>
      <w:r w:rsidR="00C06D82" w:rsidRPr="000E5A31">
        <w:rPr>
          <w:rFonts w:cs="Arial"/>
          <w:szCs w:val="22"/>
        </w:rPr>
        <w:t>i</w:t>
      </w:r>
      <w:r w:rsidR="00C06D82" w:rsidRPr="000E5A31">
        <w:rPr>
          <w:rFonts w:cs="Arial"/>
          <w:szCs w:val="22"/>
        </w:rPr>
        <w:t xml:space="preserve">gung verfügbar gemacht. </w:t>
      </w:r>
      <w:r w:rsidR="00604D85" w:rsidRPr="000E5A31">
        <w:rPr>
          <w:rFonts w:eastAsia="Cambria" w:cs="Arial"/>
          <w:bCs/>
          <w:szCs w:val="22"/>
          <w:lang w:eastAsia="fr-FR"/>
        </w:rPr>
        <w:t>Dies</w:t>
      </w:r>
      <w:r w:rsidR="00C06D82" w:rsidRPr="000E5A31">
        <w:rPr>
          <w:rFonts w:eastAsia="Cambria" w:cs="Arial"/>
          <w:bCs/>
          <w:szCs w:val="22"/>
          <w:lang w:eastAsia="fr-FR"/>
        </w:rPr>
        <w:t xml:space="preserve">e Plattform </w:t>
      </w:r>
      <w:r w:rsidR="00604D85" w:rsidRPr="000E5A31">
        <w:rPr>
          <w:rFonts w:eastAsia="Cambria" w:cs="Arial"/>
          <w:bCs/>
          <w:szCs w:val="22"/>
          <w:lang w:eastAsia="fr-FR"/>
        </w:rPr>
        <w:t>ist in zwei Bereiche unterteilt: in einen offenen, für alle Energypedia</w:t>
      </w:r>
      <w:r w:rsidR="00122660" w:rsidRPr="000E5A31">
        <w:rPr>
          <w:rFonts w:eastAsia="Cambria" w:cs="Arial"/>
          <w:bCs/>
          <w:szCs w:val="22"/>
          <w:lang w:eastAsia="fr-FR"/>
        </w:rPr>
        <w:t>-</w:t>
      </w:r>
      <w:r w:rsidR="00604D85" w:rsidRPr="000E5A31">
        <w:rPr>
          <w:rFonts w:eastAsia="Cambria" w:cs="Arial"/>
          <w:bCs/>
          <w:szCs w:val="22"/>
          <w:lang w:eastAsia="fr-FR"/>
        </w:rPr>
        <w:t>Mitglieder zugänglichen; sowie in einen geschlossenen, der nur für die Mi</w:t>
      </w:r>
      <w:r w:rsidR="00604D85" w:rsidRPr="000E5A31">
        <w:rPr>
          <w:rFonts w:eastAsia="Cambria" w:cs="Arial"/>
          <w:bCs/>
          <w:szCs w:val="22"/>
          <w:lang w:eastAsia="fr-FR"/>
        </w:rPr>
        <w:t>t</w:t>
      </w:r>
      <w:r w:rsidR="00604D85" w:rsidRPr="000E5A31">
        <w:rPr>
          <w:rFonts w:eastAsia="Cambria" w:cs="Arial"/>
          <w:bCs/>
          <w:szCs w:val="22"/>
          <w:lang w:eastAsia="fr-FR"/>
        </w:rPr>
        <w:t xml:space="preserve">arbeiter und </w:t>
      </w:r>
      <w:r w:rsidR="00B12D30" w:rsidRPr="000E5A31">
        <w:rPr>
          <w:rFonts w:eastAsia="Cambria" w:cs="Arial"/>
          <w:bCs/>
          <w:szCs w:val="22"/>
          <w:lang w:eastAsia="fr-FR"/>
        </w:rPr>
        <w:t>ausgewählte</w:t>
      </w:r>
      <w:r w:rsidR="00604D85" w:rsidRPr="000E5A31">
        <w:rPr>
          <w:rFonts w:eastAsia="Cambria" w:cs="Arial"/>
          <w:bCs/>
          <w:szCs w:val="22"/>
          <w:lang w:eastAsia="fr-FR"/>
        </w:rPr>
        <w:t xml:space="preserve"> Partner zugänglich ist. </w:t>
      </w:r>
      <w:r w:rsidR="00CD09C5" w:rsidRPr="000E5A31">
        <w:rPr>
          <w:rFonts w:eastAsia="Cambria" w:cs="Arial"/>
          <w:bCs/>
          <w:szCs w:val="22"/>
          <w:lang w:eastAsia="fr-FR"/>
        </w:rPr>
        <w:t xml:space="preserve">Die Administratorenrolle liegt beim IMA in Bonn. An den Standorten Rabat und Tunis unterstützt </w:t>
      </w:r>
      <w:r w:rsidR="00604D85" w:rsidRPr="000E5A31">
        <w:rPr>
          <w:rFonts w:eastAsia="Cambria" w:cs="Arial"/>
          <w:bCs/>
          <w:szCs w:val="22"/>
          <w:lang w:eastAsia="fr-FR"/>
        </w:rPr>
        <w:t xml:space="preserve">ihn </w:t>
      </w:r>
      <w:r w:rsidR="00CD09C5" w:rsidRPr="000E5A31">
        <w:rPr>
          <w:rFonts w:eastAsia="Cambria" w:cs="Arial"/>
          <w:bCs/>
          <w:szCs w:val="22"/>
          <w:lang w:eastAsia="fr-FR"/>
        </w:rPr>
        <w:t xml:space="preserve">jeweils ein lokaler Energypedia-Beauftragter. </w:t>
      </w:r>
      <w:r w:rsidR="00604D85" w:rsidRPr="000E5A31">
        <w:rPr>
          <w:rFonts w:eastAsia="Cambria" w:cs="Arial"/>
          <w:bCs/>
          <w:szCs w:val="22"/>
          <w:lang w:eastAsia="fr-FR"/>
        </w:rPr>
        <w:t xml:space="preserve">Die </w:t>
      </w:r>
      <w:r w:rsidR="00CD09C5" w:rsidRPr="000E5A31">
        <w:rPr>
          <w:rFonts w:eastAsia="Cambria" w:cs="Arial"/>
          <w:bCs/>
          <w:szCs w:val="22"/>
          <w:lang w:eastAsia="fr-FR"/>
        </w:rPr>
        <w:t>Rollenverteilung innerhalb von RCREEE ist noch zu klären.</w:t>
      </w:r>
      <w:r w:rsidR="00C06D82" w:rsidRPr="000E5A31">
        <w:rPr>
          <w:rFonts w:eastAsia="Cambria" w:cs="Arial"/>
          <w:bCs/>
          <w:szCs w:val="22"/>
          <w:lang w:eastAsia="fr-FR"/>
        </w:rPr>
        <w:t xml:space="preserve"> Als nächstes wird eine spezielle </w:t>
      </w:r>
      <w:r w:rsidR="002D1081" w:rsidRPr="000E5A31">
        <w:rPr>
          <w:rFonts w:cs="Arial"/>
          <w:szCs w:val="22"/>
        </w:rPr>
        <w:t xml:space="preserve">Strategie für die externe Kommunikation </w:t>
      </w:r>
      <w:r w:rsidR="00C06D82" w:rsidRPr="000E5A31">
        <w:rPr>
          <w:rFonts w:cs="Arial"/>
          <w:szCs w:val="22"/>
        </w:rPr>
        <w:t xml:space="preserve">ausgearbeitet werden. </w:t>
      </w:r>
    </w:p>
    <w:p w:rsidR="002D1081" w:rsidRPr="000E5A31" w:rsidRDefault="00C06D82" w:rsidP="002D1081">
      <w:pPr>
        <w:autoSpaceDE w:val="0"/>
        <w:autoSpaceDN w:val="0"/>
        <w:adjustRightInd w:val="0"/>
        <w:spacing w:after="120"/>
        <w:rPr>
          <w:rFonts w:cs="Arial"/>
          <w:szCs w:val="22"/>
        </w:rPr>
      </w:pPr>
      <w:r w:rsidRPr="000E5A31">
        <w:rPr>
          <w:rFonts w:cs="Arial"/>
          <w:szCs w:val="22"/>
        </w:rPr>
        <w:t xml:space="preserve">Mit fortscheitender Konsolidierung und Operationalisierung des Vorhabens werden auch die </w:t>
      </w:r>
      <w:r w:rsidR="002D1081" w:rsidRPr="000E5A31">
        <w:rPr>
          <w:rFonts w:cs="Arial"/>
          <w:szCs w:val="22"/>
        </w:rPr>
        <w:t xml:space="preserve">erbrachten Leistungen </w:t>
      </w:r>
      <w:r w:rsidRPr="000E5A31">
        <w:rPr>
          <w:rFonts w:cs="Arial"/>
          <w:szCs w:val="22"/>
        </w:rPr>
        <w:t xml:space="preserve">zunehmend </w:t>
      </w:r>
      <w:r w:rsidR="002D1081" w:rsidRPr="000E5A31">
        <w:rPr>
          <w:rFonts w:cs="Arial"/>
          <w:szCs w:val="22"/>
        </w:rPr>
        <w:t xml:space="preserve">innerhalb und außerhalb der Region </w:t>
      </w:r>
      <w:r w:rsidRPr="000E5A31">
        <w:rPr>
          <w:rFonts w:cs="Arial"/>
          <w:szCs w:val="22"/>
        </w:rPr>
        <w:t xml:space="preserve">bekannt und </w:t>
      </w:r>
      <w:r w:rsidR="002D1081" w:rsidRPr="000E5A31">
        <w:rPr>
          <w:rFonts w:cs="Arial"/>
          <w:szCs w:val="22"/>
        </w:rPr>
        <w:t>nac</w:t>
      </w:r>
      <w:r w:rsidR="002D1081" w:rsidRPr="000E5A31">
        <w:rPr>
          <w:rFonts w:cs="Arial"/>
          <w:szCs w:val="22"/>
        </w:rPr>
        <w:t>h</w:t>
      </w:r>
      <w:r w:rsidR="002D1081" w:rsidRPr="000E5A31">
        <w:rPr>
          <w:rFonts w:cs="Arial"/>
          <w:szCs w:val="22"/>
        </w:rPr>
        <w:t xml:space="preserve">gefragt. </w:t>
      </w:r>
      <w:r w:rsidRPr="000E5A31">
        <w:rPr>
          <w:rFonts w:cs="Arial"/>
          <w:szCs w:val="22"/>
        </w:rPr>
        <w:t>An den bisherigen Veranstaltungen (Seminaren, Workshops, Traini</w:t>
      </w:r>
      <w:r w:rsidR="0034383F">
        <w:rPr>
          <w:rFonts w:cs="Arial"/>
          <w:szCs w:val="22"/>
        </w:rPr>
        <w:t>ngs etc.) nahmen insgesamt ca. 3</w:t>
      </w:r>
      <w:r w:rsidRPr="000E5A31">
        <w:rPr>
          <w:rFonts w:cs="Arial"/>
          <w:szCs w:val="22"/>
        </w:rPr>
        <w:t>00 Personen teil. Ca. 40</w:t>
      </w:r>
      <w:r w:rsidR="002D1081" w:rsidRPr="000E5A31">
        <w:rPr>
          <w:rFonts w:cs="Arial"/>
          <w:szCs w:val="22"/>
        </w:rPr>
        <w:t xml:space="preserve"> % der Teilnehmenden </w:t>
      </w:r>
      <w:r w:rsidRPr="000E5A31">
        <w:rPr>
          <w:rFonts w:cs="Arial"/>
          <w:szCs w:val="22"/>
        </w:rPr>
        <w:t xml:space="preserve">waren </w:t>
      </w:r>
      <w:r w:rsidR="002D1081" w:rsidRPr="000E5A31">
        <w:rPr>
          <w:rFonts w:cs="Arial"/>
          <w:szCs w:val="22"/>
        </w:rPr>
        <w:t>Frauen.</w:t>
      </w:r>
      <w:r w:rsidRPr="000E5A31">
        <w:rPr>
          <w:rFonts w:cs="Arial"/>
          <w:szCs w:val="22"/>
        </w:rPr>
        <w:t xml:space="preserve"> Viele dieser Teilnehmer haben sich </w:t>
      </w:r>
      <w:r w:rsidR="0034383F">
        <w:rPr>
          <w:rFonts w:cs="Arial"/>
          <w:szCs w:val="22"/>
        </w:rPr>
        <w:t xml:space="preserve">nach </w:t>
      </w:r>
      <w:r w:rsidRPr="000E5A31">
        <w:rPr>
          <w:rFonts w:cs="Arial"/>
          <w:szCs w:val="22"/>
        </w:rPr>
        <w:t>eigener Aussage niemals vorher getroffen und wusste</w:t>
      </w:r>
      <w:r w:rsidR="0034383F">
        <w:rPr>
          <w:rFonts w:cs="Arial"/>
          <w:szCs w:val="22"/>
        </w:rPr>
        <w:t>n</w:t>
      </w:r>
      <w:r w:rsidRPr="000E5A31">
        <w:rPr>
          <w:rFonts w:cs="Arial"/>
          <w:szCs w:val="22"/>
        </w:rPr>
        <w:t xml:space="preserve"> auch nichts voneinander, und dies, obwohl sie oft zu denselben Themen (aber in </w:t>
      </w:r>
      <w:r w:rsidR="00B67B10" w:rsidRPr="000E5A31">
        <w:rPr>
          <w:rFonts w:cs="Arial"/>
          <w:szCs w:val="22"/>
        </w:rPr>
        <w:t>un</w:t>
      </w:r>
      <w:r w:rsidRPr="000E5A31">
        <w:rPr>
          <w:rFonts w:cs="Arial"/>
          <w:szCs w:val="22"/>
        </w:rPr>
        <w:t>terschiedl</w:t>
      </w:r>
      <w:r w:rsidRPr="000E5A31">
        <w:rPr>
          <w:rFonts w:cs="Arial"/>
          <w:szCs w:val="22"/>
        </w:rPr>
        <w:t>i</w:t>
      </w:r>
      <w:r w:rsidRPr="000E5A31">
        <w:rPr>
          <w:rFonts w:cs="Arial"/>
          <w:szCs w:val="22"/>
        </w:rPr>
        <w:t>chen</w:t>
      </w:r>
      <w:r w:rsidR="00B67B10" w:rsidRPr="000E5A31">
        <w:rPr>
          <w:rFonts w:cs="Arial"/>
          <w:szCs w:val="22"/>
        </w:rPr>
        <w:t xml:space="preserve"> Länder</w:t>
      </w:r>
      <w:r w:rsidR="0034383F">
        <w:rPr>
          <w:rFonts w:cs="Arial"/>
          <w:szCs w:val="22"/>
        </w:rPr>
        <w:t>n</w:t>
      </w:r>
      <w:r w:rsidR="00B67B10" w:rsidRPr="000E5A31">
        <w:rPr>
          <w:rFonts w:cs="Arial"/>
          <w:szCs w:val="22"/>
        </w:rPr>
        <w:t xml:space="preserve">) oder artverwandten Themen (aber in </w:t>
      </w:r>
      <w:r w:rsidR="00B12D30" w:rsidRPr="000E5A31">
        <w:rPr>
          <w:rFonts w:cs="Arial"/>
          <w:szCs w:val="22"/>
        </w:rPr>
        <w:t>unterschiedlichen</w:t>
      </w:r>
      <w:r w:rsidR="00B67B10" w:rsidRPr="000E5A31">
        <w:rPr>
          <w:rFonts w:cs="Arial"/>
          <w:szCs w:val="22"/>
        </w:rPr>
        <w:t xml:space="preserve"> Sektoren)</w:t>
      </w:r>
      <w:r w:rsidR="0034383F" w:rsidRPr="0034383F">
        <w:rPr>
          <w:rFonts w:cs="Arial"/>
          <w:szCs w:val="22"/>
        </w:rPr>
        <w:t xml:space="preserve"> </w:t>
      </w:r>
      <w:r w:rsidR="0034383F" w:rsidRPr="000E5A31">
        <w:rPr>
          <w:rFonts w:cs="Arial"/>
          <w:szCs w:val="22"/>
        </w:rPr>
        <w:t>arbeiten</w:t>
      </w:r>
      <w:r w:rsidR="00B67B10" w:rsidRPr="000E5A31">
        <w:rPr>
          <w:rFonts w:cs="Arial"/>
          <w:szCs w:val="22"/>
        </w:rPr>
        <w:t>. Ein Kern</w:t>
      </w:r>
      <w:r w:rsidR="0034383F">
        <w:rPr>
          <w:rFonts w:cs="Arial"/>
          <w:szCs w:val="22"/>
        </w:rPr>
        <w:t>ziel</w:t>
      </w:r>
      <w:r w:rsidR="00B67B10" w:rsidRPr="000E5A31">
        <w:rPr>
          <w:rFonts w:cs="Arial"/>
          <w:szCs w:val="22"/>
        </w:rPr>
        <w:t xml:space="preserve"> des Vorhabens – nämlich die Unterstützung des Wissensaustauschs und der </w:t>
      </w:r>
      <w:r w:rsidR="00B12D30" w:rsidRPr="000E5A31">
        <w:rPr>
          <w:rFonts w:cs="Arial"/>
          <w:szCs w:val="22"/>
        </w:rPr>
        <w:t>Netzwerkbildung</w:t>
      </w:r>
      <w:r w:rsidR="00B67B10" w:rsidRPr="000E5A31">
        <w:rPr>
          <w:rFonts w:cs="Arial"/>
          <w:szCs w:val="22"/>
        </w:rPr>
        <w:t xml:space="preserve"> über Sektor- und Ländergrenzen hinweg – </w:t>
      </w:r>
      <w:r w:rsidR="0034383F">
        <w:rPr>
          <w:rFonts w:cs="Arial"/>
          <w:szCs w:val="22"/>
        </w:rPr>
        <w:t xml:space="preserve">wurde damit bereits </w:t>
      </w:r>
      <w:r w:rsidR="00B67B10" w:rsidRPr="000E5A31">
        <w:rPr>
          <w:rFonts w:cs="Arial"/>
          <w:szCs w:val="22"/>
        </w:rPr>
        <w:t>er</w:t>
      </w:r>
      <w:r w:rsidR="0034383F">
        <w:rPr>
          <w:rFonts w:cs="Arial"/>
          <w:szCs w:val="22"/>
        </w:rPr>
        <w:t>reicht</w:t>
      </w:r>
      <w:r w:rsidR="00B67B10" w:rsidRPr="000E5A31">
        <w:rPr>
          <w:rFonts w:cs="Arial"/>
          <w:szCs w:val="22"/>
        </w:rPr>
        <w:t>.</w:t>
      </w:r>
    </w:p>
    <w:p w:rsidR="002D1081" w:rsidRPr="000E5A31" w:rsidRDefault="00CA2C7A" w:rsidP="00B11618">
      <w:pPr>
        <w:autoSpaceDE w:val="0"/>
        <w:autoSpaceDN w:val="0"/>
        <w:adjustRightInd w:val="0"/>
        <w:spacing w:after="120"/>
        <w:rPr>
          <w:rFonts w:cs="Arial"/>
          <w:szCs w:val="22"/>
        </w:rPr>
      </w:pPr>
      <w:r w:rsidRPr="000E5A31">
        <w:rPr>
          <w:rFonts w:cs="Arial"/>
          <w:szCs w:val="22"/>
        </w:rPr>
        <w:t xml:space="preserve">Durch den umfassenden Ansatz, der </w:t>
      </w:r>
      <w:r w:rsidR="00DF1491" w:rsidRPr="000E5A31">
        <w:rPr>
          <w:rFonts w:cs="Arial"/>
          <w:szCs w:val="22"/>
        </w:rPr>
        <w:t xml:space="preserve">zugleich auf </w:t>
      </w:r>
      <w:r w:rsidRPr="000E5A31">
        <w:rPr>
          <w:rFonts w:cs="Arial"/>
          <w:szCs w:val="22"/>
        </w:rPr>
        <w:t xml:space="preserve">verschiedenen Ebenen </w:t>
      </w:r>
      <w:r w:rsidR="00DF1491" w:rsidRPr="000E5A31">
        <w:rPr>
          <w:rFonts w:cs="Arial"/>
          <w:szCs w:val="22"/>
        </w:rPr>
        <w:t>(Makro, Meso, Mi</w:t>
      </w:r>
      <w:r w:rsidR="00DF1491" w:rsidRPr="000E5A31">
        <w:rPr>
          <w:rFonts w:cs="Arial"/>
          <w:szCs w:val="22"/>
        </w:rPr>
        <w:t>k</w:t>
      </w:r>
      <w:r w:rsidR="00DF1491" w:rsidRPr="000E5A31">
        <w:rPr>
          <w:rFonts w:cs="Arial"/>
          <w:szCs w:val="22"/>
        </w:rPr>
        <w:t xml:space="preserve">ro) ansetzt </w:t>
      </w:r>
      <w:r w:rsidRPr="000E5A31">
        <w:rPr>
          <w:rFonts w:cs="Arial"/>
          <w:szCs w:val="22"/>
        </w:rPr>
        <w:t xml:space="preserve">und unterschiedliche Akteursgruppen </w:t>
      </w:r>
      <w:r w:rsidR="00DF1491" w:rsidRPr="000E5A31">
        <w:rPr>
          <w:rFonts w:cs="Arial"/>
          <w:szCs w:val="22"/>
        </w:rPr>
        <w:t>a</w:t>
      </w:r>
      <w:bookmarkStart w:id="16" w:name="_GoBack"/>
      <w:bookmarkEnd w:id="16"/>
      <w:r w:rsidR="00DF1491" w:rsidRPr="000E5A31">
        <w:rPr>
          <w:rFonts w:cs="Arial"/>
          <w:szCs w:val="22"/>
        </w:rPr>
        <w:t>us dem öffentlichen, privaten und zivilg</w:t>
      </w:r>
      <w:r w:rsidR="00DF1491" w:rsidRPr="000E5A31">
        <w:rPr>
          <w:rFonts w:cs="Arial"/>
          <w:szCs w:val="22"/>
        </w:rPr>
        <w:t>e</w:t>
      </w:r>
      <w:r w:rsidR="00DF1491" w:rsidRPr="000E5A31">
        <w:rPr>
          <w:rFonts w:cs="Arial"/>
          <w:szCs w:val="22"/>
        </w:rPr>
        <w:lastRenderedPageBreak/>
        <w:t xml:space="preserve">sellschaftlichen Sektor einbindet, werden diese in die Lage versetzt, direkten </w:t>
      </w:r>
      <w:r w:rsidR="002D1081" w:rsidRPr="000E5A31">
        <w:rPr>
          <w:rFonts w:cs="Arial"/>
          <w:szCs w:val="22"/>
        </w:rPr>
        <w:t>Zugang zu e</w:t>
      </w:r>
      <w:r w:rsidR="002D1081" w:rsidRPr="000E5A31">
        <w:rPr>
          <w:rFonts w:cs="Arial"/>
          <w:szCs w:val="22"/>
        </w:rPr>
        <w:t>i</w:t>
      </w:r>
      <w:r w:rsidR="002D1081" w:rsidRPr="000E5A31">
        <w:rPr>
          <w:rFonts w:cs="Arial"/>
          <w:szCs w:val="22"/>
        </w:rPr>
        <w:t xml:space="preserve">nem vergrößerten Kreis von relevanten </w:t>
      </w:r>
      <w:r w:rsidR="00DF1491" w:rsidRPr="000E5A31">
        <w:rPr>
          <w:rFonts w:cs="Arial"/>
          <w:szCs w:val="22"/>
        </w:rPr>
        <w:t xml:space="preserve">Ansprechpartnern zu gewinnen und ihr Wissen </w:t>
      </w:r>
      <w:r w:rsidR="002D1081" w:rsidRPr="000E5A31">
        <w:rPr>
          <w:rFonts w:cs="Arial"/>
          <w:szCs w:val="22"/>
        </w:rPr>
        <w:t>hi</w:t>
      </w:r>
      <w:r w:rsidR="002D1081" w:rsidRPr="000E5A31">
        <w:rPr>
          <w:rFonts w:cs="Arial"/>
          <w:szCs w:val="22"/>
        </w:rPr>
        <w:t>n</w:t>
      </w:r>
      <w:r w:rsidR="002D1081" w:rsidRPr="000E5A31">
        <w:rPr>
          <w:rFonts w:cs="Arial"/>
          <w:szCs w:val="22"/>
        </w:rPr>
        <w:t xml:space="preserve">sichtlich </w:t>
      </w:r>
      <w:r w:rsidR="00DF1491" w:rsidRPr="000E5A31">
        <w:rPr>
          <w:rFonts w:cs="Arial"/>
          <w:szCs w:val="22"/>
        </w:rPr>
        <w:t xml:space="preserve">der hyperkomplexen und dynamischen Querverbindungen zwischen der Förderung nachhaltiger Energien sowie der Unterstützung lokaler sozioökonomischer Entwicklung zu </w:t>
      </w:r>
      <w:r w:rsidR="00B12D30" w:rsidRPr="000E5A31">
        <w:rPr>
          <w:rFonts w:cs="Arial"/>
          <w:szCs w:val="22"/>
        </w:rPr>
        <w:t>verbessern</w:t>
      </w:r>
      <w:r w:rsidR="002D1081" w:rsidRPr="000E5A31">
        <w:rPr>
          <w:rFonts w:cs="Arial"/>
          <w:szCs w:val="22"/>
        </w:rPr>
        <w:t xml:space="preserve">. </w:t>
      </w:r>
      <w:r w:rsidR="00DF1491" w:rsidRPr="000E5A31">
        <w:rPr>
          <w:rFonts w:cs="Arial"/>
          <w:szCs w:val="22"/>
        </w:rPr>
        <w:t>Das auf Landesebene gewonnene Wissen wird in den Region</w:t>
      </w:r>
      <w:r w:rsidR="000E5A31">
        <w:rPr>
          <w:rFonts w:cs="Arial"/>
          <w:szCs w:val="22"/>
        </w:rPr>
        <w:t>al</w:t>
      </w:r>
      <w:r w:rsidR="0084607C" w:rsidRPr="000E5A31">
        <w:rPr>
          <w:rFonts w:cs="Arial"/>
          <w:szCs w:val="22"/>
        </w:rPr>
        <w:t>dialog eing</w:t>
      </w:r>
      <w:r w:rsidR="0084607C" w:rsidRPr="000E5A31">
        <w:rPr>
          <w:rFonts w:cs="Arial"/>
          <w:szCs w:val="22"/>
        </w:rPr>
        <w:t>e</w:t>
      </w:r>
      <w:r w:rsidR="0084607C" w:rsidRPr="000E5A31">
        <w:rPr>
          <w:rFonts w:cs="Arial"/>
          <w:szCs w:val="22"/>
        </w:rPr>
        <w:t xml:space="preserve">speist und umgekehrt. Das Vorhaben trägt unmittelbar dazu bei, </w:t>
      </w:r>
      <w:r w:rsidR="0084607C" w:rsidRPr="000E5A31">
        <w:rPr>
          <w:rFonts w:eastAsia="Calibri" w:cs="Arial"/>
          <w:szCs w:val="22"/>
          <w:lang w:eastAsia="en-US"/>
        </w:rPr>
        <w:t>Lücken und Brüche zw</w:t>
      </w:r>
      <w:r w:rsidR="0084607C" w:rsidRPr="000E5A31">
        <w:rPr>
          <w:rFonts w:eastAsia="Calibri" w:cs="Arial"/>
          <w:szCs w:val="22"/>
          <w:lang w:eastAsia="en-US"/>
        </w:rPr>
        <w:t>i</w:t>
      </w:r>
      <w:r w:rsidR="0084607C" w:rsidRPr="000E5A31">
        <w:rPr>
          <w:rFonts w:eastAsia="Calibri" w:cs="Arial"/>
          <w:szCs w:val="22"/>
          <w:lang w:eastAsia="en-US"/>
        </w:rPr>
        <w:t>schen Akteuren in den betroffenen Ländern und Sektoren schließen zu helfen, Ressourcen zu poolen, Synergien zu schaffen, Redundanzen und Doppelarbeit zu vermeiden, Transakt</w:t>
      </w:r>
      <w:r w:rsidR="0084607C" w:rsidRPr="000E5A31">
        <w:rPr>
          <w:rFonts w:eastAsia="Calibri" w:cs="Arial"/>
          <w:szCs w:val="22"/>
          <w:lang w:eastAsia="en-US"/>
        </w:rPr>
        <w:t>i</w:t>
      </w:r>
      <w:r w:rsidR="0084607C" w:rsidRPr="000E5A31">
        <w:rPr>
          <w:rFonts w:eastAsia="Calibri" w:cs="Arial"/>
          <w:szCs w:val="22"/>
          <w:lang w:eastAsia="en-US"/>
        </w:rPr>
        <w:t>onskosten für alle Beteiligten zu senken und Hebelwirkungen für lokale Zielgruppen zu ve</w:t>
      </w:r>
      <w:r w:rsidR="0084607C" w:rsidRPr="000E5A31">
        <w:rPr>
          <w:rFonts w:eastAsia="Calibri" w:cs="Arial"/>
          <w:szCs w:val="22"/>
          <w:lang w:eastAsia="en-US"/>
        </w:rPr>
        <w:t>r</w:t>
      </w:r>
      <w:r w:rsidR="0084607C" w:rsidRPr="000E5A31">
        <w:rPr>
          <w:rFonts w:eastAsia="Calibri" w:cs="Arial"/>
          <w:szCs w:val="22"/>
          <w:lang w:eastAsia="en-US"/>
        </w:rPr>
        <w:t>stärken</w:t>
      </w:r>
      <w:r w:rsidR="00DF1491" w:rsidRPr="000E5A31">
        <w:rPr>
          <w:rFonts w:cs="Arial"/>
          <w:szCs w:val="22"/>
        </w:rPr>
        <w:t xml:space="preserve"> </w:t>
      </w:r>
      <w:r w:rsidR="002D1081" w:rsidRPr="000E5A31">
        <w:rPr>
          <w:rFonts w:cs="Arial"/>
          <w:szCs w:val="22"/>
        </w:rPr>
        <w:t>(</w:t>
      </w:r>
      <w:r w:rsidR="002D1081" w:rsidRPr="000E5A31">
        <w:rPr>
          <w:rFonts w:cs="Arial"/>
          <w:b/>
          <w:bCs/>
          <w:szCs w:val="22"/>
        </w:rPr>
        <w:t>direkte Wirkung</w:t>
      </w:r>
      <w:r w:rsidR="002D1081" w:rsidRPr="000E5A31">
        <w:rPr>
          <w:rFonts w:cs="Arial"/>
          <w:szCs w:val="22"/>
        </w:rPr>
        <w:t>).</w:t>
      </w:r>
    </w:p>
    <w:p w:rsidR="002D1081" w:rsidRPr="000E5A31" w:rsidRDefault="002D1081" w:rsidP="00B11618">
      <w:pPr>
        <w:autoSpaceDE w:val="0"/>
        <w:autoSpaceDN w:val="0"/>
        <w:adjustRightInd w:val="0"/>
        <w:spacing w:after="120"/>
        <w:rPr>
          <w:rFonts w:cs="Arial"/>
          <w:szCs w:val="22"/>
        </w:rPr>
      </w:pPr>
      <w:r w:rsidRPr="000E5A31">
        <w:rPr>
          <w:rFonts w:cs="Arial"/>
          <w:szCs w:val="22"/>
        </w:rPr>
        <w:t>Auf Basis de</w:t>
      </w:r>
      <w:r w:rsidR="0084607C" w:rsidRPr="000E5A31">
        <w:rPr>
          <w:rFonts w:cs="Arial"/>
          <w:szCs w:val="22"/>
        </w:rPr>
        <w:t>r</w:t>
      </w:r>
      <w:r w:rsidRPr="000E5A31">
        <w:rPr>
          <w:rFonts w:cs="Arial"/>
          <w:szCs w:val="22"/>
        </w:rPr>
        <w:t xml:space="preserve"> </w:t>
      </w:r>
      <w:r w:rsidR="0084607C" w:rsidRPr="000E5A31">
        <w:rPr>
          <w:rFonts w:cs="Arial"/>
          <w:szCs w:val="22"/>
        </w:rPr>
        <w:t xml:space="preserve">geschaffenen </w:t>
      </w:r>
      <w:r w:rsidRPr="000E5A31">
        <w:rPr>
          <w:rFonts w:cs="Arial"/>
          <w:szCs w:val="22"/>
        </w:rPr>
        <w:t>Netzwerk</w:t>
      </w:r>
      <w:r w:rsidR="0084607C" w:rsidRPr="000E5A31">
        <w:rPr>
          <w:rFonts w:cs="Arial"/>
          <w:szCs w:val="22"/>
        </w:rPr>
        <w:t>e</w:t>
      </w:r>
      <w:r w:rsidRPr="000E5A31">
        <w:rPr>
          <w:rFonts w:cs="Arial"/>
          <w:szCs w:val="22"/>
        </w:rPr>
        <w:t xml:space="preserve"> </w:t>
      </w:r>
      <w:r w:rsidR="0084607C" w:rsidRPr="000E5A31">
        <w:rPr>
          <w:rFonts w:cs="Arial"/>
          <w:szCs w:val="22"/>
        </w:rPr>
        <w:t xml:space="preserve">und des so gewonnenen und </w:t>
      </w:r>
      <w:r w:rsidRPr="000E5A31">
        <w:rPr>
          <w:rFonts w:cs="Arial"/>
          <w:szCs w:val="22"/>
        </w:rPr>
        <w:t xml:space="preserve">erweiterten Wissens entwickeln </w:t>
      </w:r>
      <w:r w:rsidR="0084607C" w:rsidRPr="000E5A31">
        <w:rPr>
          <w:rFonts w:cs="Arial"/>
          <w:szCs w:val="22"/>
        </w:rPr>
        <w:t xml:space="preserve">die </w:t>
      </w:r>
      <w:r w:rsidR="000E5A31" w:rsidRPr="000E5A31">
        <w:rPr>
          <w:rFonts w:cs="Arial"/>
          <w:szCs w:val="22"/>
        </w:rPr>
        <w:t>unterschiedlichen</w:t>
      </w:r>
      <w:r w:rsidRPr="000E5A31">
        <w:rPr>
          <w:rFonts w:cs="Arial"/>
          <w:szCs w:val="22"/>
        </w:rPr>
        <w:t xml:space="preserve"> Akteursgruppen angepasste Lösungsansätze und setzen sie gemeinsam um. In den Mitgliedsländern werden auf Basis des vorhandenen Wissens und ausgewerteter Erfahrungen fundiert</w:t>
      </w:r>
      <w:r w:rsidR="0084607C" w:rsidRPr="000E5A31">
        <w:rPr>
          <w:rFonts w:cs="Arial"/>
          <w:szCs w:val="22"/>
        </w:rPr>
        <w:t>(er)</w:t>
      </w:r>
      <w:r w:rsidRPr="000E5A31">
        <w:rPr>
          <w:rFonts w:cs="Arial"/>
          <w:szCs w:val="22"/>
        </w:rPr>
        <w:t xml:space="preserve">e politische Entscheidungen getroffen. </w:t>
      </w:r>
      <w:r w:rsidR="00B12D30" w:rsidRPr="000E5A31">
        <w:rPr>
          <w:rFonts w:cs="Arial"/>
          <w:szCs w:val="22"/>
        </w:rPr>
        <w:t xml:space="preserve">Diese Maßnahmen, die Verbesserung der Rahmenbedingungen und Förderinstrumente sowie die Stärkung von Kapazitäten und Kompetenzen sorgen dafür, dass der Markt für identifizierte beschäftigungsintensive Technologien und Anwendungen in diesen Ländern signifikant wächst </w:t>
      </w:r>
      <w:r w:rsidRPr="000E5A31">
        <w:rPr>
          <w:rFonts w:cs="Arial"/>
          <w:szCs w:val="22"/>
        </w:rPr>
        <w:t>(</w:t>
      </w:r>
      <w:r w:rsidRPr="000E5A31">
        <w:rPr>
          <w:rFonts w:cs="Arial"/>
          <w:b/>
          <w:bCs/>
          <w:szCs w:val="22"/>
        </w:rPr>
        <w:t>indirekte Wirkung</w:t>
      </w:r>
      <w:r w:rsidRPr="000E5A31">
        <w:rPr>
          <w:rFonts w:cs="Arial"/>
          <w:szCs w:val="22"/>
        </w:rPr>
        <w:t>).</w:t>
      </w:r>
    </w:p>
    <w:p w:rsidR="002D1081" w:rsidRPr="000E5A31" w:rsidRDefault="00CA2C7A" w:rsidP="00B11618">
      <w:pPr>
        <w:autoSpaceDE w:val="0"/>
        <w:autoSpaceDN w:val="0"/>
        <w:adjustRightInd w:val="0"/>
        <w:spacing w:after="120"/>
        <w:rPr>
          <w:rFonts w:cs="Arial"/>
          <w:szCs w:val="22"/>
        </w:rPr>
      </w:pPr>
      <w:r w:rsidRPr="000E5A31">
        <w:rPr>
          <w:rFonts w:cs="Arial"/>
          <w:szCs w:val="22"/>
        </w:rPr>
        <w:t>Das Vorhaben unterstützt die lokale Wertschöpfung und Beschäftigung im Bereich erneue</w:t>
      </w:r>
      <w:r w:rsidRPr="000E5A31">
        <w:rPr>
          <w:rFonts w:cs="Arial"/>
          <w:szCs w:val="22"/>
        </w:rPr>
        <w:t>r</w:t>
      </w:r>
      <w:r w:rsidRPr="000E5A31">
        <w:rPr>
          <w:rFonts w:cs="Arial"/>
          <w:szCs w:val="22"/>
        </w:rPr>
        <w:t>barer</w:t>
      </w:r>
      <w:r w:rsidR="0084607C" w:rsidRPr="000E5A31">
        <w:rPr>
          <w:rFonts w:cs="Arial"/>
          <w:szCs w:val="22"/>
        </w:rPr>
        <w:t xml:space="preserve"> </w:t>
      </w:r>
      <w:r w:rsidRPr="000E5A31">
        <w:rPr>
          <w:rFonts w:cs="Arial"/>
          <w:szCs w:val="22"/>
        </w:rPr>
        <w:t xml:space="preserve">Energien und Energieeffizienz. </w:t>
      </w:r>
      <w:r w:rsidR="0084607C" w:rsidRPr="000E5A31">
        <w:rPr>
          <w:rFonts w:cs="Arial"/>
          <w:szCs w:val="22"/>
        </w:rPr>
        <w:t>Durch die Reduzierung der Arbeitslosigkeit und die Schaffung neuer Einnahmequellen trägt es zur wirtschaftlichen und politischen Stabilisierung der beteiligten Länder bei. Es leistet zudem einen Beitrag</w:t>
      </w:r>
      <w:r w:rsidRPr="000E5A31">
        <w:rPr>
          <w:rFonts w:cs="Arial"/>
          <w:szCs w:val="22"/>
        </w:rPr>
        <w:t xml:space="preserve"> zur Diversifizierung der Energi</w:t>
      </w:r>
      <w:r w:rsidRPr="000E5A31">
        <w:rPr>
          <w:rFonts w:cs="Arial"/>
          <w:szCs w:val="22"/>
        </w:rPr>
        <w:t>e</w:t>
      </w:r>
      <w:r w:rsidRPr="000E5A31">
        <w:rPr>
          <w:rFonts w:cs="Arial"/>
          <w:szCs w:val="22"/>
        </w:rPr>
        <w:t xml:space="preserve">versorgung, </w:t>
      </w:r>
      <w:r w:rsidR="0084607C" w:rsidRPr="000E5A31">
        <w:rPr>
          <w:rFonts w:cs="Arial"/>
          <w:szCs w:val="22"/>
        </w:rPr>
        <w:t xml:space="preserve">zur Verbesserung der Versorgungssicherheit sowie </w:t>
      </w:r>
      <w:r w:rsidRPr="000E5A31">
        <w:rPr>
          <w:rFonts w:cs="Arial"/>
          <w:szCs w:val="22"/>
        </w:rPr>
        <w:t>zur Ver</w:t>
      </w:r>
      <w:r w:rsidR="0084607C" w:rsidRPr="000E5A31">
        <w:rPr>
          <w:rFonts w:cs="Arial"/>
          <w:szCs w:val="22"/>
        </w:rPr>
        <w:t>ringerung</w:t>
      </w:r>
      <w:r w:rsidRPr="000E5A31">
        <w:rPr>
          <w:rFonts w:cs="Arial"/>
          <w:szCs w:val="22"/>
        </w:rPr>
        <w:t xml:space="preserve"> von CO2-Emissionen </w:t>
      </w:r>
      <w:r w:rsidR="0084607C" w:rsidRPr="000E5A31">
        <w:rPr>
          <w:rFonts w:cs="Arial"/>
          <w:szCs w:val="22"/>
        </w:rPr>
        <w:t>und anderer Gefahren für Umwelt und Gesundheit</w:t>
      </w:r>
      <w:r w:rsidRPr="000E5A31">
        <w:rPr>
          <w:rFonts w:cs="Arial"/>
          <w:szCs w:val="22"/>
        </w:rPr>
        <w:t>.</w:t>
      </w:r>
      <w:r w:rsidR="00B11618" w:rsidRPr="000E5A31">
        <w:rPr>
          <w:rFonts w:cs="Arial"/>
          <w:szCs w:val="22"/>
        </w:rPr>
        <w:t xml:space="preserve"> Die geförderten Reformen und der Technologie- und Wissenstransfer wirken über die dreijährige Projektlaufzeit hinaus. Durch das Vorhaben gestärkte Märkte bleiben bestehen; die mit Unterstützung des Vorh</w:t>
      </w:r>
      <w:r w:rsidR="00B11618" w:rsidRPr="000E5A31">
        <w:rPr>
          <w:rFonts w:cs="Arial"/>
          <w:szCs w:val="22"/>
        </w:rPr>
        <w:t>a</w:t>
      </w:r>
      <w:r w:rsidR="00B11618" w:rsidRPr="000E5A31">
        <w:rPr>
          <w:rFonts w:cs="Arial"/>
          <w:szCs w:val="22"/>
        </w:rPr>
        <w:t xml:space="preserve">bens geplanten oder installierten Anlagen werden weiter in Betrieb sein. </w:t>
      </w:r>
      <w:r w:rsidR="002D1081" w:rsidRPr="000E5A31">
        <w:rPr>
          <w:rFonts w:cs="Arial"/>
          <w:szCs w:val="22"/>
        </w:rPr>
        <w:t>Die dadurch erzie</w:t>
      </w:r>
      <w:r w:rsidR="002D1081" w:rsidRPr="000E5A31">
        <w:rPr>
          <w:rFonts w:cs="Arial"/>
          <w:szCs w:val="22"/>
        </w:rPr>
        <w:t>l</w:t>
      </w:r>
      <w:r w:rsidR="0034383F">
        <w:rPr>
          <w:rFonts w:cs="Arial"/>
          <w:szCs w:val="22"/>
        </w:rPr>
        <w:t>ten</w:t>
      </w:r>
      <w:r w:rsidR="002D1081" w:rsidRPr="000E5A31">
        <w:rPr>
          <w:rFonts w:cs="Arial"/>
          <w:szCs w:val="22"/>
        </w:rPr>
        <w:t xml:space="preserve"> </w:t>
      </w:r>
      <w:r w:rsidR="00B12D30" w:rsidRPr="000E5A31">
        <w:rPr>
          <w:rFonts w:cs="Arial"/>
          <w:szCs w:val="22"/>
        </w:rPr>
        <w:t>Verbesserungen</w:t>
      </w:r>
      <w:r w:rsidR="002D1081" w:rsidRPr="000E5A31">
        <w:rPr>
          <w:rFonts w:cs="Arial"/>
          <w:szCs w:val="22"/>
        </w:rPr>
        <w:t xml:space="preserve"> wir</w:t>
      </w:r>
      <w:r w:rsidR="00B11618" w:rsidRPr="000E5A31">
        <w:rPr>
          <w:rFonts w:cs="Arial"/>
          <w:szCs w:val="22"/>
        </w:rPr>
        <w:t>ken sich langfristig</w:t>
      </w:r>
      <w:r w:rsidR="002D1081" w:rsidRPr="000E5A31">
        <w:rPr>
          <w:rFonts w:cs="Arial"/>
          <w:szCs w:val="22"/>
        </w:rPr>
        <w:t xml:space="preserve"> positiv auf die Lebensbedin</w:t>
      </w:r>
      <w:r w:rsidR="00B11618" w:rsidRPr="000E5A31">
        <w:rPr>
          <w:rFonts w:cs="Arial"/>
          <w:szCs w:val="22"/>
        </w:rPr>
        <w:t>g</w:t>
      </w:r>
      <w:r w:rsidR="002D1081" w:rsidRPr="000E5A31">
        <w:rPr>
          <w:rFonts w:cs="Arial"/>
          <w:szCs w:val="22"/>
        </w:rPr>
        <w:t xml:space="preserve">ungen </w:t>
      </w:r>
      <w:r w:rsidR="00B11618" w:rsidRPr="000E5A31">
        <w:rPr>
          <w:rFonts w:cs="Arial"/>
          <w:szCs w:val="22"/>
        </w:rPr>
        <w:t xml:space="preserve">gerade </w:t>
      </w:r>
      <w:r w:rsidR="002D1081" w:rsidRPr="000E5A31">
        <w:rPr>
          <w:rFonts w:cs="Arial"/>
          <w:szCs w:val="22"/>
        </w:rPr>
        <w:t>der ärmeren Teile der Bevölkerung aus (</w:t>
      </w:r>
      <w:r w:rsidR="002D1081" w:rsidRPr="000E5A31">
        <w:rPr>
          <w:rFonts w:cs="Arial"/>
          <w:b/>
          <w:bCs/>
          <w:szCs w:val="22"/>
        </w:rPr>
        <w:t>entwicklungspolitische Wirkung</w:t>
      </w:r>
      <w:r w:rsidR="002D1081" w:rsidRPr="000E5A31">
        <w:rPr>
          <w:rFonts w:cs="Arial"/>
          <w:szCs w:val="22"/>
        </w:rPr>
        <w:t>).</w:t>
      </w:r>
    </w:p>
    <w:p w:rsidR="00B6253F" w:rsidRPr="000E5A31" w:rsidRDefault="0092409A" w:rsidP="002D1081">
      <w:pPr>
        <w:autoSpaceDE w:val="0"/>
        <w:autoSpaceDN w:val="0"/>
        <w:adjustRightInd w:val="0"/>
        <w:spacing w:after="120"/>
        <w:rPr>
          <w:rFonts w:cs="Arial"/>
          <w:szCs w:val="22"/>
        </w:rPr>
      </w:pPr>
      <w:r w:rsidRPr="000E5A31">
        <w:rPr>
          <w:rFonts w:cs="Arial"/>
          <w:szCs w:val="22"/>
        </w:rPr>
        <w:t xml:space="preserve">Die </w:t>
      </w:r>
      <w:r w:rsidR="006B02A4" w:rsidRPr="000E5A31">
        <w:rPr>
          <w:rFonts w:cs="Arial"/>
          <w:szCs w:val="22"/>
        </w:rPr>
        <w:t xml:space="preserve">übrigen </w:t>
      </w:r>
      <w:r w:rsidRPr="000E5A31">
        <w:rPr>
          <w:rFonts w:cs="Arial"/>
          <w:szCs w:val="22"/>
        </w:rPr>
        <w:t>im Ang</w:t>
      </w:r>
      <w:r w:rsidR="002D1081" w:rsidRPr="000E5A31">
        <w:rPr>
          <w:rFonts w:cs="Arial"/>
          <w:szCs w:val="22"/>
        </w:rPr>
        <w:t>e</w:t>
      </w:r>
      <w:r w:rsidRPr="000E5A31">
        <w:rPr>
          <w:rFonts w:cs="Arial"/>
          <w:szCs w:val="22"/>
        </w:rPr>
        <w:t>b</w:t>
      </w:r>
      <w:r w:rsidR="002D1081" w:rsidRPr="000E5A31">
        <w:rPr>
          <w:rFonts w:cs="Arial"/>
          <w:szCs w:val="22"/>
        </w:rPr>
        <w:t>o</w:t>
      </w:r>
      <w:r w:rsidRPr="000E5A31">
        <w:rPr>
          <w:rFonts w:cs="Arial"/>
          <w:szCs w:val="22"/>
        </w:rPr>
        <w:t xml:space="preserve">t formulierten Beiträge zu den </w:t>
      </w:r>
      <w:r w:rsidRPr="000E5A31">
        <w:rPr>
          <w:rFonts w:cs="Arial"/>
          <w:b/>
          <w:bCs/>
          <w:szCs w:val="22"/>
        </w:rPr>
        <w:t xml:space="preserve">Kennungen </w:t>
      </w:r>
      <w:r w:rsidRPr="000E5A31">
        <w:rPr>
          <w:rFonts w:cs="Arial"/>
          <w:szCs w:val="22"/>
        </w:rPr>
        <w:t>sind weiterhin gültig:</w:t>
      </w:r>
    </w:p>
    <w:p w:rsidR="002D1081" w:rsidRPr="000E5A31" w:rsidRDefault="002D1081" w:rsidP="002D1081">
      <w:pPr>
        <w:autoSpaceDE w:val="0"/>
        <w:autoSpaceDN w:val="0"/>
        <w:adjustRightInd w:val="0"/>
        <w:spacing w:after="120"/>
        <w:rPr>
          <w:rFonts w:cs="Arial"/>
          <w:szCs w:val="22"/>
        </w:rPr>
      </w:pPr>
      <w:r w:rsidRPr="000E5A31">
        <w:rPr>
          <w:rFonts w:cs="Arial"/>
          <w:b/>
          <w:szCs w:val="22"/>
        </w:rPr>
        <w:t>Sozioökonomische Wirkungen (Armutsorientierung AO):</w:t>
      </w:r>
      <w:r w:rsidRPr="000E5A31">
        <w:rPr>
          <w:rFonts w:cs="Arial"/>
          <w:szCs w:val="22"/>
        </w:rPr>
        <w:t xml:space="preserve"> Durch die Schaffung neuer A</w:t>
      </w:r>
      <w:r w:rsidRPr="000E5A31">
        <w:rPr>
          <w:rFonts w:cs="Arial"/>
          <w:szCs w:val="22"/>
        </w:rPr>
        <w:t>r</w:t>
      </w:r>
      <w:r w:rsidRPr="000E5A31">
        <w:rPr>
          <w:rFonts w:cs="Arial"/>
          <w:szCs w:val="22"/>
        </w:rPr>
        <w:t>beitsplätze auf verschiedenen Qualifizierungsniveaus entstehen zusätzliche Einkommen</w:t>
      </w:r>
      <w:r w:rsidRPr="000E5A31">
        <w:rPr>
          <w:rFonts w:cs="Arial"/>
          <w:szCs w:val="22"/>
        </w:rPr>
        <w:t>s</w:t>
      </w:r>
      <w:r w:rsidRPr="000E5A31">
        <w:rPr>
          <w:rFonts w:cs="Arial"/>
          <w:szCs w:val="22"/>
        </w:rPr>
        <w:t>möglichkeiten sowohl für Absolventen von Hoch- und Fachschulen als auch für Handwerker. Haushalte und Unternehmen, die die im Rahmen des Vorhabens unterstützten Technologien und Anwendungen nutzen, profitieren nach Ablauf der Amortisationsphase von reduzierten Energiekosten bzw. zusätzlichen Einnahmen. Insgesamt trägt das Vorhaben indirekt zur A</w:t>
      </w:r>
      <w:r w:rsidRPr="000E5A31">
        <w:rPr>
          <w:rFonts w:cs="Arial"/>
          <w:szCs w:val="22"/>
        </w:rPr>
        <w:t>r</w:t>
      </w:r>
      <w:r w:rsidRPr="000E5A31">
        <w:rPr>
          <w:rFonts w:cs="Arial"/>
          <w:szCs w:val="22"/>
        </w:rPr>
        <w:t>mutsminderung bei und erhält die Kennung AO-EPA.</w:t>
      </w:r>
    </w:p>
    <w:p w:rsidR="002D1081" w:rsidRPr="000E5A31" w:rsidRDefault="002D1081" w:rsidP="002D1081">
      <w:pPr>
        <w:autoSpaceDE w:val="0"/>
        <w:autoSpaceDN w:val="0"/>
        <w:adjustRightInd w:val="0"/>
        <w:spacing w:after="120"/>
        <w:rPr>
          <w:rFonts w:cs="Arial"/>
          <w:szCs w:val="22"/>
        </w:rPr>
      </w:pPr>
      <w:r w:rsidRPr="000E5A31">
        <w:rPr>
          <w:rFonts w:cs="Arial"/>
          <w:b/>
          <w:szCs w:val="22"/>
        </w:rPr>
        <w:t>Partizipative Entwicklung und Gute Regierungsführung (PG):</w:t>
      </w:r>
      <w:r w:rsidRPr="000E5A31">
        <w:rPr>
          <w:rFonts w:cs="Arial"/>
          <w:szCs w:val="22"/>
        </w:rPr>
        <w:t xml:space="preserve"> Das Vorhaben ist nicht auf die Förderung partizipativer Entwicklung und guter Regierungsführung ausgerichtet. Alle</w:t>
      </w:r>
      <w:r w:rsidRPr="000E5A31">
        <w:rPr>
          <w:rFonts w:cs="Arial"/>
          <w:szCs w:val="22"/>
        </w:rPr>
        <w:t>r</w:t>
      </w:r>
      <w:r w:rsidRPr="000E5A31">
        <w:rPr>
          <w:rFonts w:cs="Arial"/>
          <w:szCs w:val="22"/>
        </w:rPr>
        <w:t>dings trägt es durch die Unterstützung gesamtwirtschaftlicher Dialoge unter Beteiligung der Vertreter der wichtigsten Interessengruppen dazu bei, dass rationale wirtschafts- und ene</w:t>
      </w:r>
      <w:r w:rsidRPr="000E5A31">
        <w:rPr>
          <w:rFonts w:cs="Arial"/>
          <w:szCs w:val="22"/>
        </w:rPr>
        <w:t>r</w:t>
      </w:r>
      <w:r w:rsidRPr="000E5A31">
        <w:rPr>
          <w:rFonts w:cs="Arial"/>
          <w:szCs w:val="22"/>
        </w:rPr>
        <w:t>giepolitische Strategien verfolgt werden, die zu einem breitenwirksamen Wachstum beitr</w:t>
      </w:r>
      <w:r w:rsidRPr="000E5A31">
        <w:rPr>
          <w:rFonts w:cs="Arial"/>
          <w:szCs w:val="22"/>
        </w:rPr>
        <w:t>a</w:t>
      </w:r>
      <w:r w:rsidRPr="000E5A31">
        <w:rPr>
          <w:rFonts w:cs="Arial"/>
          <w:szCs w:val="22"/>
        </w:rPr>
        <w:t>gen (PD/GG-0).</w:t>
      </w:r>
    </w:p>
    <w:p w:rsidR="002D1081" w:rsidRPr="000E5A31" w:rsidRDefault="002D1081" w:rsidP="002D1081">
      <w:pPr>
        <w:autoSpaceDE w:val="0"/>
        <w:autoSpaceDN w:val="0"/>
        <w:adjustRightInd w:val="0"/>
        <w:spacing w:after="120"/>
        <w:rPr>
          <w:rFonts w:cs="Arial"/>
          <w:szCs w:val="22"/>
        </w:rPr>
      </w:pPr>
      <w:r w:rsidRPr="000E5A31">
        <w:rPr>
          <w:rFonts w:cs="Arial"/>
          <w:b/>
          <w:szCs w:val="22"/>
        </w:rPr>
        <w:lastRenderedPageBreak/>
        <w:t>Gleichberechtigung der Geschlechter (GG):</w:t>
      </w:r>
      <w:r w:rsidRPr="000E5A31">
        <w:rPr>
          <w:rFonts w:cs="Arial"/>
          <w:szCs w:val="22"/>
        </w:rPr>
        <w:t xml:space="preserve"> Für das Vorhaben steht die Geschlec</w:t>
      </w:r>
      <w:r w:rsidRPr="000E5A31">
        <w:rPr>
          <w:rFonts w:cs="Arial"/>
          <w:szCs w:val="22"/>
        </w:rPr>
        <w:t>h</w:t>
      </w:r>
      <w:r w:rsidRPr="000E5A31">
        <w:rPr>
          <w:rFonts w:cs="Arial"/>
          <w:szCs w:val="22"/>
        </w:rPr>
        <w:t>tergleichstellung nicht im Vordergrund. Durch eine gleichberechtigte Beteiligung von Frauen an Planungs-, und Konsultationsmaßnahmen sowie an Qualifizierungsmaßnahmen wird s</w:t>
      </w:r>
      <w:r w:rsidRPr="000E5A31">
        <w:rPr>
          <w:rFonts w:cs="Arial"/>
          <w:szCs w:val="22"/>
        </w:rPr>
        <w:t>i</w:t>
      </w:r>
      <w:r w:rsidRPr="000E5A31">
        <w:rPr>
          <w:rFonts w:cs="Arial"/>
          <w:szCs w:val="22"/>
        </w:rPr>
        <w:t>chergestellt, dass Frauen gleichermaßen wie Männer von verbesserten Beschäftigungsmö</w:t>
      </w:r>
      <w:r w:rsidRPr="000E5A31">
        <w:rPr>
          <w:rFonts w:cs="Arial"/>
          <w:szCs w:val="22"/>
        </w:rPr>
        <w:t>g</w:t>
      </w:r>
      <w:r w:rsidRPr="000E5A31">
        <w:rPr>
          <w:rFonts w:cs="Arial"/>
          <w:szCs w:val="22"/>
        </w:rPr>
        <w:t>lichkeiten profitieren (GG-0).</w:t>
      </w:r>
    </w:p>
    <w:p w:rsidR="002D1081" w:rsidRPr="000E5A31" w:rsidRDefault="002D1081" w:rsidP="002D1081">
      <w:pPr>
        <w:autoSpaceDE w:val="0"/>
        <w:autoSpaceDN w:val="0"/>
        <w:adjustRightInd w:val="0"/>
        <w:spacing w:after="120"/>
        <w:rPr>
          <w:rFonts w:cs="Arial"/>
          <w:szCs w:val="22"/>
        </w:rPr>
      </w:pPr>
      <w:r w:rsidRPr="000E5A31">
        <w:rPr>
          <w:rFonts w:cs="Arial"/>
          <w:b/>
          <w:szCs w:val="22"/>
        </w:rPr>
        <w:t>Frieden und Sicherheit (FS):</w:t>
      </w:r>
      <w:r w:rsidRPr="000E5A31">
        <w:rPr>
          <w:rFonts w:cs="Arial"/>
          <w:szCs w:val="22"/>
        </w:rPr>
        <w:t xml:space="preserve"> Die politischen Spannungen in Nordafrika erhöhen die Ko</w:t>
      </w:r>
      <w:r w:rsidRPr="000E5A31">
        <w:rPr>
          <w:rFonts w:cs="Arial"/>
          <w:szCs w:val="22"/>
        </w:rPr>
        <w:t>n</w:t>
      </w:r>
      <w:r w:rsidRPr="000E5A31">
        <w:rPr>
          <w:rFonts w:cs="Arial"/>
          <w:szCs w:val="22"/>
        </w:rPr>
        <w:t xml:space="preserve">fliktrisiken. Insbesondere in Tunesien und Ägypten besteht weiterhin Eskalationsgefahr. Die Umsetzung des Vorhabens findet daher </w:t>
      </w:r>
      <w:r w:rsidR="00B12D30" w:rsidRPr="000E5A31">
        <w:rPr>
          <w:rFonts w:cs="Arial"/>
          <w:szCs w:val="22"/>
        </w:rPr>
        <w:t>konfliktsensibel</w:t>
      </w:r>
      <w:r w:rsidRPr="000E5A31">
        <w:rPr>
          <w:rFonts w:cs="Arial"/>
          <w:szCs w:val="22"/>
        </w:rPr>
        <w:t xml:space="preserve"> statt. Krisenprävention und Fri</w:t>
      </w:r>
      <w:r w:rsidRPr="000E5A31">
        <w:rPr>
          <w:rFonts w:cs="Arial"/>
          <w:szCs w:val="22"/>
        </w:rPr>
        <w:t>e</w:t>
      </w:r>
      <w:r w:rsidRPr="000E5A31">
        <w:rPr>
          <w:rFonts w:cs="Arial"/>
          <w:szCs w:val="22"/>
        </w:rPr>
        <w:t>densentwicklung sind nicht explizites Ziel des Vorhabens, es leistet jedoch über Beschäft</w:t>
      </w:r>
      <w:r w:rsidRPr="000E5A31">
        <w:rPr>
          <w:rFonts w:cs="Arial"/>
          <w:szCs w:val="22"/>
        </w:rPr>
        <w:t>i</w:t>
      </w:r>
      <w:r w:rsidRPr="000E5A31">
        <w:rPr>
          <w:rFonts w:cs="Arial"/>
          <w:szCs w:val="22"/>
        </w:rPr>
        <w:t>gungswirkungen einen indirekten Beitrag zur Festigung des sozialen Friedens. Es erhält d</w:t>
      </w:r>
      <w:r w:rsidRPr="000E5A31">
        <w:rPr>
          <w:rFonts w:cs="Arial"/>
          <w:szCs w:val="22"/>
        </w:rPr>
        <w:t>a</w:t>
      </w:r>
      <w:r w:rsidRPr="000E5A31">
        <w:rPr>
          <w:rFonts w:cs="Arial"/>
          <w:szCs w:val="22"/>
        </w:rPr>
        <w:t>her die Kennung FS-0.</w:t>
      </w:r>
    </w:p>
    <w:p w:rsidR="002D1081" w:rsidRPr="000E5A31" w:rsidRDefault="002D1081" w:rsidP="002D1081">
      <w:pPr>
        <w:autoSpaceDE w:val="0"/>
        <w:autoSpaceDN w:val="0"/>
        <w:adjustRightInd w:val="0"/>
        <w:spacing w:after="120"/>
        <w:rPr>
          <w:rFonts w:cs="Arial"/>
          <w:szCs w:val="22"/>
        </w:rPr>
      </w:pPr>
      <w:r w:rsidRPr="000E5A31">
        <w:rPr>
          <w:rFonts w:cs="Arial"/>
          <w:b/>
          <w:szCs w:val="22"/>
        </w:rPr>
        <w:t>Umwelt- und Ressourcenschutz (UR):</w:t>
      </w:r>
      <w:r w:rsidRPr="000E5A31">
        <w:rPr>
          <w:rFonts w:cs="Arial"/>
          <w:szCs w:val="22"/>
        </w:rPr>
        <w:t xml:space="preserve"> Die verstärkte Nutzung von erneuerbaren Energien und die Verbesserung der Energieeffizienz führen zu einer Reduzierung von umwe</w:t>
      </w:r>
      <w:r w:rsidR="00122660" w:rsidRPr="000E5A31">
        <w:rPr>
          <w:rFonts w:cs="Arial"/>
          <w:szCs w:val="22"/>
        </w:rPr>
        <w:t>l</w:t>
      </w:r>
      <w:r w:rsidRPr="000E5A31">
        <w:rPr>
          <w:rFonts w:cs="Arial"/>
          <w:szCs w:val="22"/>
        </w:rPr>
        <w:t xml:space="preserve">t- und klimaschädlichen Emissionen. Das Vorhaben erhält daher die Kennung UR-1. </w:t>
      </w:r>
    </w:p>
    <w:p w:rsidR="002D1081" w:rsidRPr="000E5A31" w:rsidRDefault="002D1081" w:rsidP="002D1081">
      <w:pPr>
        <w:autoSpaceDE w:val="0"/>
        <w:autoSpaceDN w:val="0"/>
        <w:adjustRightInd w:val="0"/>
        <w:spacing w:after="120"/>
        <w:rPr>
          <w:rFonts w:cs="Arial"/>
          <w:szCs w:val="22"/>
        </w:rPr>
      </w:pPr>
      <w:r w:rsidRPr="000E5A31">
        <w:rPr>
          <w:rFonts w:cs="Arial"/>
          <w:b/>
          <w:szCs w:val="22"/>
        </w:rPr>
        <w:t>Klimawandel, Minderung von Treibhausgasen (KLM) und Anpassung an den Klim</w:t>
      </w:r>
      <w:r w:rsidRPr="000E5A31">
        <w:rPr>
          <w:rFonts w:cs="Arial"/>
          <w:b/>
          <w:szCs w:val="22"/>
        </w:rPr>
        <w:t>a</w:t>
      </w:r>
      <w:r w:rsidRPr="000E5A31">
        <w:rPr>
          <w:rFonts w:cs="Arial"/>
          <w:b/>
          <w:szCs w:val="22"/>
        </w:rPr>
        <w:t>wandel (KLA):</w:t>
      </w:r>
      <w:r w:rsidRPr="000E5A31">
        <w:rPr>
          <w:rFonts w:cs="Arial"/>
          <w:szCs w:val="22"/>
        </w:rPr>
        <w:t xml:space="preserve"> Durch seinen Beitrag zu einer intensiveren Nutzung von erneuerbaren Ene</w:t>
      </w:r>
      <w:r w:rsidRPr="000E5A31">
        <w:rPr>
          <w:rFonts w:cs="Arial"/>
          <w:szCs w:val="22"/>
        </w:rPr>
        <w:t>r</w:t>
      </w:r>
      <w:r w:rsidRPr="000E5A31">
        <w:rPr>
          <w:rFonts w:cs="Arial"/>
          <w:szCs w:val="22"/>
        </w:rPr>
        <w:t>gien und einer besseren Energieeffizienz trägt das Vorhaben zur Vermeidung von Trei</w:t>
      </w:r>
      <w:r w:rsidRPr="000E5A31">
        <w:rPr>
          <w:rFonts w:cs="Arial"/>
          <w:szCs w:val="22"/>
        </w:rPr>
        <w:t>b</w:t>
      </w:r>
      <w:r w:rsidRPr="000E5A31">
        <w:rPr>
          <w:rFonts w:cs="Arial"/>
          <w:szCs w:val="22"/>
        </w:rPr>
        <w:t xml:space="preserve">hausgasemissionen (THG) bei. Es handelt sich bei der Minderung von THG nicht um das Hauptziel des Vorhabens. Das Vorhaben trägt nicht zur Anpassung an den Klimawandel bei. Es werden daher die Kennungen KLM-1 und KLA-0 vergeben. </w:t>
      </w:r>
    </w:p>
    <w:p w:rsidR="002D1081" w:rsidRPr="000E5A31" w:rsidRDefault="002D1081" w:rsidP="002D1081">
      <w:pPr>
        <w:autoSpaceDE w:val="0"/>
        <w:autoSpaceDN w:val="0"/>
        <w:adjustRightInd w:val="0"/>
        <w:spacing w:after="120"/>
        <w:rPr>
          <w:rFonts w:cs="Arial"/>
          <w:szCs w:val="22"/>
        </w:rPr>
      </w:pPr>
      <w:r w:rsidRPr="000E5A31">
        <w:rPr>
          <w:rFonts w:cs="Arial"/>
          <w:b/>
          <w:szCs w:val="22"/>
        </w:rPr>
        <w:t>Ländliche Entwicklung (LE):</w:t>
      </w:r>
      <w:r w:rsidRPr="000E5A31">
        <w:rPr>
          <w:rFonts w:cs="Arial"/>
          <w:szCs w:val="22"/>
        </w:rPr>
        <w:t xml:space="preserve"> Die Maßnahme ist nicht primär auf ländliche Entwicklung und/oder Ernährungssicherung ausgerichtet (LE-0).</w:t>
      </w:r>
    </w:p>
    <w:p w:rsidR="002D1081" w:rsidRPr="000E5A31" w:rsidRDefault="002D1081" w:rsidP="002D1081">
      <w:pPr>
        <w:autoSpaceDE w:val="0"/>
        <w:autoSpaceDN w:val="0"/>
        <w:adjustRightInd w:val="0"/>
        <w:spacing w:after="120"/>
        <w:rPr>
          <w:rFonts w:cs="Arial"/>
          <w:szCs w:val="22"/>
        </w:rPr>
      </w:pPr>
      <w:r w:rsidRPr="000E5A31">
        <w:rPr>
          <w:rFonts w:cs="Arial"/>
          <w:b/>
          <w:szCs w:val="22"/>
        </w:rPr>
        <w:t>Biodiversitätskonvention (BTR):</w:t>
      </w:r>
      <w:r w:rsidRPr="000E5A31">
        <w:rPr>
          <w:rFonts w:cs="Arial"/>
          <w:szCs w:val="22"/>
        </w:rPr>
        <w:t xml:space="preserve"> Das Vorhaben trägt nicht zum Schutz der Biodiversität bei (BTR-0).</w:t>
      </w:r>
    </w:p>
    <w:p w:rsidR="002D1081" w:rsidRPr="000E5A31" w:rsidRDefault="002D1081" w:rsidP="002D1081">
      <w:pPr>
        <w:autoSpaceDE w:val="0"/>
        <w:autoSpaceDN w:val="0"/>
        <w:adjustRightInd w:val="0"/>
        <w:spacing w:after="120"/>
        <w:rPr>
          <w:rFonts w:cs="Arial"/>
          <w:szCs w:val="22"/>
        </w:rPr>
      </w:pPr>
      <w:r w:rsidRPr="000E5A31">
        <w:rPr>
          <w:rFonts w:cs="Arial"/>
          <w:b/>
          <w:szCs w:val="22"/>
        </w:rPr>
        <w:t>Handelsentwicklung (TD):</w:t>
      </w:r>
      <w:r w:rsidRPr="000E5A31">
        <w:rPr>
          <w:rFonts w:cs="Arial"/>
          <w:szCs w:val="22"/>
        </w:rPr>
        <w:t xml:space="preserve"> Das Vorhaben ist nicht auf die Förderung der Handelsentwic</w:t>
      </w:r>
      <w:r w:rsidRPr="000E5A31">
        <w:rPr>
          <w:rFonts w:cs="Arial"/>
          <w:szCs w:val="22"/>
        </w:rPr>
        <w:t>k</w:t>
      </w:r>
      <w:r w:rsidRPr="000E5A31">
        <w:rPr>
          <w:rFonts w:cs="Arial"/>
          <w:szCs w:val="22"/>
        </w:rPr>
        <w:t>lung</w:t>
      </w:r>
      <w:r w:rsidR="002845AE" w:rsidRPr="000E5A31">
        <w:rPr>
          <w:rFonts w:cs="Arial"/>
          <w:szCs w:val="22"/>
        </w:rPr>
        <w:t xml:space="preserve"> </w:t>
      </w:r>
      <w:r w:rsidRPr="000E5A31">
        <w:rPr>
          <w:rFonts w:cs="Arial"/>
          <w:szCs w:val="22"/>
        </w:rPr>
        <w:t>ausgerichtet (TD-</w:t>
      </w:r>
      <w:r w:rsidR="002845AE" w:rsidRPr="000E5A31">
        <w:rPr>
          <w:rFonts w:cs="Arial"/>
          <w:szCs w:val="22"/>
        </w:rPr>
        <w:t>0</w:t>
      </w:r>
      <w:r w:rsidRPr="000E5A31">
        <w:rPr>
          <w:rFonts w:cs="Arial"/>
          <w:szCs w:val="22"/>
        </w:rPr>
        <w:t>).</w:t>
      </w:r>
    </w:p>
    <w:p w:rsidR="002D1081" w:rsidRPr="000E5A31" w:rsidRDefault="002D1081" w:rsidP="002D1081">
      <w:pPr>
        <w:autoSpaceDE w:val="0"/>
        <w:autoSpaceDN w:val="0"/>
        <w:adjustRightInd w:val="0"/>
        <w:spacing w:after="120"/>
        <w:rPr>
          <w:rFonts w:cs="Arial"/>
          <w:szCs w:val="22"/>
        </w:rPr>
      </w:pPr>
      <w:r w:rsidRPr="000E5A31">
        <w:rPr>
          <w:rFonts w:cs="Arial"/>
          <w:szCs w:val="22"/>
        </w:rPr>
        <w:t xml:space="preserve">Das Vorhaben bietet aufgrund seiner technischen Ausrichtung </w:t>
      </w:r>
      <w:r w:rsidR="00C85B6B" w:rsidRPr="000E5A31">
        <w:rPr>
          <w:rFonts w:cs="Arial"/>
          <w:szCs w:val="22"/>
        </w:rPr>
        <w:t>wenig Ansatzpunkte zur Ve</w:t>
      </w:r>
      <w:r w:rsidR="00C85B6B" w:rsidRPr="000E5A31">
        <w:rPr>
          <w:rFonts w:cs="Arial"/>
          <w:szCs w:val="22"/>
        </w:rPr>
        <w:t>r</w:t>
      </w:r>
      <w:r w:rsidR="00C85B6B" w:rsidRPr="000E5A31">
        <w:rPr>
          <w:rFonts w:cs="Arial"/>
          <w:szCs w:val="22"/>
        </w:rPr>
        <w:t>besserung der Menschenrechtslage in den Partnerländern</w:t>
      </w:r>
      <w:r w:rsidRPr="000E5A31">
        <w:rPr>
          <w:rFonts w:cs="Arial"/>
          <w:szCs w:val="22"/>
        </w:rPr>
        <w:t>. Es leistet jedoch einen Beitrag</w:t>
      </w:r>
      <w:r w:rsidR="002845AE" w:rsidRPr="000E5A31">
        <w:rPr>
          <w:rFonts w:cs="Arial"/>
          <w:szCs w:val="22"/>
        </w:rPr>
        <w:t xml:space="preserve"> </w:t>
      </w:r>
      <w:r w:rsidRPr="000E5A31">
        <w:rPr>
          <w:rFonts w:cs="Arial"/>
          <w:szCs w:val="22"/>
        </w:rPr>
        <w:t xml:space="preserve">zur Stärkung </w:t>
      </w:r>
      <w:r w:rsidR="002845AE" w:rsidRPr="000E5A31">
        <w:rPr>
          <w:rFonts w:cs="Arial"/>
          <w:szCs w:val="22"/>
        </w:rPr>
        <w:t>des</w:t>
      </w:r>
      <w:r w:rsidRPr="000E5A31">
        <w:rPr>
          <w:rFonts w:cs="Arial"/>
          <w:szCs w:val="22"/>
        </w:rPr>
        <w:t xml:space="preserve"> </w:t>
      </w:r>
      <w:r w:rsidR="002845AE" w:rsidRPr="000E5A31">
        <w:rPr>
          <w:rFonts w:cs="Arial"/>
          <w:szCs w:val="22"/>
        </w:rPr>
        <w:t>sozialen Dialogs und der Verbesserung der industriellen Beziehungen zw</w:t>
      </w:r>
      <w:r w:rsidR="002845AE" w:rsidRPr="000E5A31">
        <w:rPr>
          <w:rFonts w:cs="Arial"/>
          <w:szCs w:val="22"/>
        </w:rPr>
        <w:t>i</w:t>
      </w:r>
      <w:r w:rsidR="002845AE" w:rsidRPr="000E5A31">
        <w:rPr>
          <w:rFonts w:cs="Arial"/>
          <w:szCs w:val="22"/>
        </w:rPr>
        <w:t xml:space="preserve">schen den </w:t>
      </w:r>
      <w:r w:rsidR="00B12D30" w:rsidRPr="000E5A31">
        <w:rPr>
          <w:rFonts w:cs="Arial"/>
          <w:szCs w:val="22"/>
        </w:rPr>
        <w:t>Sozialpartnern</w:t>
      </w:r>
      <w:r w:rsidRPr="000E5A31">
        <w:rPr>
          <w:rFonts w:cs="Arial"/>
          <w:szCs w:val="22"/>
        </w:rPr>
        <w:t>, indem Unternehmensverbände und Gewerkschaften</w:t>
      </w:r>
      <w:r w:rsidR="002845AE" w:rsidRPr="000E5A31">
        <w:rPr>
          <w:rFonts w:cs="Arial"/>
          <w:szCs w:val="22"/>
        </w:rPr>
        <w:t xml:space="preserve"> </w:t>
      </w:r>
      <w:r w:rsidRPr="000E5A31">
        <w:rPr>
          <w:rFonts w:cs="Arial"/>
          <w:szCs w:val="22"/>
        </w:rPr>
        <w:t>an Ent</w:t>
      </w:r>
      <w:r w:rsidR="002845AE" w:rsidRPr="000E5A31">
        <w:rPr>
          <w:rFonts w:cs="Arial"/>
          <w:szCs w:val="22"/>
        </w:rPr>
        <w:t>s</w:t>
      </w:r>
      <w:r w:rsidRPr="000E5A31">
        <w:rPr>
          <w:rFonts w:cs="Arial"/>
          <w:szCs w:val="22"/>
        </w:rPr>
        <w:t>che</w:t>
      </w:r>
      <w:r w:rsidRPr="000E5A31">
        <w:rPr>
          <w:rFonts w:cs="Arial"/>
          <w:szCs w:val="22"/>
        </w:rPr>
        <w:t>i</w:t>
      </w:r>
      <w:r w:rsidRPr="000E5A31">
        <w:rPr>
          <w:rFonts w:cs="Arial"/>
          <w:szCs w:val="22"/>
        </w:rPr>
        <w:t>dungsprozessen beteiligt und Sensibilisierungs- und Trainingsmaßnahmen</w:t>
      </w:r>
      <w:r w:rsidR="002845AE" w:rsidRPr="000E5A31">
        <w:rPr>
          <w:rFonts w:cs="Arial"/>
          <w:szCs w:val="22"/>
        </w:rPr>
        <w:t xml:space="preserve"> </w:t>
      </w:r>
      <w:r w:rsidRPr="000E5A31">
        <w:rPr>
          <w:rFonts w:cs="Arial"/>
          <w:szCs w:val="22"/>
        </w:rPr>
        <w:t xml:space="preserve">zum Thema </w:t>
      </w:r>
      <w:r w:rsidR="002845AE" w:rsidRPr="000E5A31">
        <w:rPr>
          <w:rFonts w:cs="Arial"/>
          <w:szCs w:val="22"/>
        </w:rPr>
        <w:t>Qu</w:t>
      </w:r>
      <w:r w:rsidR="002845AE" w:rsidRPr="000E5A31">
        <w:rPr>
          <w:rFonts w:cs="Arial"/>
          <w:szCs w:val="22"/>
        </w:rPr>
        <w:t>a</w:t>
      </w:r>
      <w:r w:rsidR="002845AE" w:rsidRPr="000E5A31">
        <w:rPr>
          <w:rFonts w:cs="Arial"/>
          <w:szCs w:val="22"/>
        </w:rPr>
        <w:t>lifizierung und Partizipation am Arbeitsplatz</w:t>
      </w:r>
      <w:r w:rsidRPr="000E5A31">
        <w:rPr>
          <w:rFonts w:cs="Arial"/>
          <w:szCs w:val="22"/>
        </w:rPr>
        <w:t xml:space="preserve"> durchgeführt werden.</w:t>
      </w:r>
    </w:p>
    <w:p w:rsidR="005F0A1C" w:rsidRPr="000E5A31" w:rsidRDefault="005F0A1C" w:rsidP="005F0A1C">
      <w:pPr>
        <w:autoSpaceDE w:val="0"/>
        <w:autoSpaceDN w:val="0"/>
        <w:adjustRightInd w:val="0"/>
        <w:spacing w:after="120"/>
        <w:rPr>
          <w:rFonts w:cs="Arial"/>
          <w:szCs w:val="22"/>
        </w:rPr>
      </w:pPr>
      <w:r w:rsidRPr="000E5A31">
        <w:rPr>
          <w:rFonts w:cs="Arial"/>
          <w:szCs w:val="22"/>
        </w:rPr>
        <w:t>Die Themen, welche durch das Vorhaben bearbeitet werden, haben für eine rasche, umfa</w:t>
      </w:r>
      <w:r w:rsidRPr="000E5A31">
        <w:rPr>
          <w:rFonts w:cs="Arial"/>
          <w:szCs w:val="22"/>
        </w:rPr>
        <w:t>s</w:t>
      </w:r>
      <w:r w:rsidRPr="000E5A31">
        <w:rPr>
          <w:rFonts w:cs="Arial"/>
          <w:szCs w:val="22"/>
        </w:rPr>
        <w:t xml:space="preserve">sende und langfristig erfolgreiche Nutzung von RE/EE Technologien in den MENA-Ländern (wie auch darüber hinaus) eine zentrale </w:t>
      </w:r>
      <w:r w:rsidRPr="000E5A31">
        <w:rPr>
          <w:rFonts w:cs="Arial"/>
          <w:b/>
          <w:szCs w:val="22"/>
        </w:rPr>
        <w:t>Relevanz</w:t>
      </w:r>
      <w:r w:rsidRPr="000E5A31">
        <w:rPr>
          <w:rFonts w:cs="Arial"/>
          <w:szCs w:val="22"/>
        </w:rPr>
        <w:t>. Ohne eine direkte Einbindung lokaler A</w:t>
      </w:r>
      <w:r w:rsidRPr="000E5A31">
        <w:rPr>
          <w:rFonts w:cs="Arial"/>
          <w:szCs w:val="22"/>
        </w:rPr>
        <w:t>k</w:t>
      </w:r>
      <w:r w:rsidRPr="000E5A31">
        <w:rPr>
          <w:rFonts w:cs="Arial"/>
          <w:szCs w:val="22"/>
        </w:rPr>
        <w:t>teure mit unmittelbar spürbaren Wohlstandseffekten für diese wird sich nur schwer die no</w:t>
      </w:r>
      <w:r w:rsidRPr="000E5A31">
        <w:rPr>
          <w:rFonts w:cs="Arial"/>
          <w:szCs w:val="22"/>
        </w:rPr>
        <w:t>t</w:t>
      </w:r>
      <w:r w:rsidRPr="000E5A31">
        <w:rPr>
          <w:rFonts w:cs="Arial"/>
          <w:szCs w:val="22"/>
        </w:rPr>
        <w:t>wendige Akzeptanz für nachhaltige Energien herstellen lassen. Dadurch müssen die Hürden insbesondere für KKMUs gesenkt werden, was am leichtesten über eine stärkere Nutzung verteilter Ansätze möglich ist. Für den Erfolg eines solchen Ansatzes wird es jedoch en</w:t>
      </w:r>
      <w:r w:rsidRPr="000E5A31">
        <w:rPr>
          <w:rFonts w:cs="Arial"/>
          <w:szCs w:val="22"/>
        </w:rPr>
        <w:t>t</w:t>
      </w:r>
      <w:r w:rsidRPr="000E5A31">
        <w:rPr>
          <w:rFonts w:cs="Arial"/>
          <w:szCs w:val="22"/>
        </w:rPr>
        <w:t xml:space="preserve">scheidend auf die Sicherung und Stärkung von Qualität bei Produkten und Dienstleistungen (Planung, Installation, Wartung) ankommen, was wiederum ohne kollektive und verbindliche </w:t>
      </w:r>
      <w:r w:rsidRPr="000E5A31">
        <w:rPr>
          <w:rFonts w:cs="Arial"/>
          <w:szCs w:val="22"/>
        </w:rPr>
        <w:lastRenderedPageBreak/>
        <w:t>Qualitätsbildungs- und –sicherungsmechanismen nicht möglich ist. RE/EE Projekte müssen über einen langen, viele Jahre dauernden Zeitraum zuverlässig die geforderten technischen Spezifikationen erfüllen, um betriebs- und volkswirtschaftlich (und damit auch politisch) tra</w:t>
      </w:r>
      <w:r w:rsidRPr="000E5A31">
        <w:rPr>
          <w:rFonts w:cs="Arial"/>
          <w:szCs w:val="22"/>
        </w:rPr>
        <w:t>g</w:t>
      </w:r>
      <w:r w:rsidRPr="000E5A31">
        <w:rPr>
          <w:rFonts w:cs="Arial"/>
          <w:szCs w:val="22"/>
        </w:rPr>
        <w:t xml:space="preserve">bar zu sein. Diese Themen haben daher </w:t>
      </w:r>
      <w:r w:rsidR="000E5A31" w:rsidRPr="000E5A31">
        <w:rPr>
          <w:rFonts w:cs="Arial"/>
          <w:szCs w:val="22"/>
        </w:rPr>
        <w:t>prioritäre</w:t>
      </w:r>
      <w:r w:rsidRPr="000E5A31">
        <w:rPr>
          <w:rFonts w:cs="Arial"/>
          <w:szCs w:val="22"/>
        </w:rPr>
        <w:t xml:space="preserve"> Bedeutung für das Vorhaben.</w:t>
      </w:r>
    </w:p>
    <w:p w:rsidR="005F0A1C" w:rsidRPr="000E5A31" w:rsidRDefault="005F0A1C" w:rsidP="005F0A1C">
      <w:pPr>
        <w:autoSpaceDE w:val="0"/>
        <w:autoSpaceDN w:val="0"/>
        <w:adjustRightInd w:val="0"/>
        <w:spacing w:after="120"/>
        <w:rPr>
          <w:rFonts w:cs="Arial"/>
          <w:szCs w:val="22"/>
        </w:rPr>
      </w:pPr>
      <w:r w:rsidRPr="000E5A31">
        <w:rPr>
          <w:rFonts w:cs="Arial"/>
          <w:szCs w:val="22"/>
        </w:rPr>
        <w:t xml:space="preserve">Die </w:t>
      </w:r>
      <w:r w:rsidRPr="000E5A31">
        <w:rPr>
          <w:rFonts w:cs="Arial"/>
          <w:b/>
          <w:bCs/>
          <w:szCs w:val="22"/>
        </w:rPr>
        <w:t xml:space="preserve">Effektivität </w:t>
      </w:r>
      <w:r w:rsidRPr="000E5A31">
        <w:rPr>
          <w:rFonts w:cs="Arial"/>
          <w:szCs w:val="22"/>
        </w:rPr>
        <w:t>des Vorgehens beruht darin, dass die systematische Vernetzung relevanter Akteure über Länder- und Sektorgrenzen hinweg (bei der auch die Außen- wie die Inland</w:t>
      </w:r>
      <w:r w:rsidRPr="000E5A31">
        <w:rPr>
          <w:rFonts w:cs="Arial"/>
          <w:szCs w:val="22"/>
        </w:rPr>
        <w:t>s</w:t>
      </w:r>
      <w:r w:rsidRPr="000E5A31">
        <w:rPr>
          <w:rFonts w:cs="Arial"/>
          <w:szCs w:val="22"/>
        </w:rPr>
        <w:t xml:space="preserve">struktur der GIZ und der EZ im </w:t>
      </w:r>
      <w:r w:rsidR="0034383F">
        <w:rPr>
          <w:rFonts w:cs="Arial"/>
          <w:szCs w:val="22"/>
        </w:rPr>
        <w:t>A</w:t>
      </w:r>
      <w:r w:rsidRPr="000E5A31">
        <w:rPr>
          <w:rFonts w:cs="Arial"/>
          <w:szCs w:val="22"/>
        </w:rPr>
        <w:t>llgemeinen eingebunden wird) die Identifizierung und Ko</w:t>
      </w:r>
      <w:r w:rsidRPr="000E5A31">
        <w:rPr>
          <w:rFonts w:cs="Arial"/>
          <w:szCs w:val="22"/>
        </w:rPr>
        <w:t>m</w:t>
      </w:r>
      <w:r w:rsidRPr="000E5A31">
        <w:rPr>
          <w:rFonts w:cs="Arial"/>
          <w:szCs w:val="22"/>
        </w:rPr>
        <w:t xml:space="preserve">munikation guter Praktiken zur Optimierung der beschäftigungs- und einkommensfördernden Effekte von RE/EE erheblich erleichtert, beschleunigt und in ihrer Breitenwirksamkeit stärkt. Dieses Vorgehen trägt auch zur </w:t>
      </w:r>
      <w:r w:rsidRPr="000E5A31">
        <w:rPr>
          <w:rFonts w:cs="Arial"/>
          <w:b/>
          <w:szCs w:val="22"/>
        </w:rPr>
        <w:t>Effizienzsteigerung</w:t>
      </w:r>
      <w:r w:rsidRPr="000E5A31">
        <w:rPr>
          <w:rFonts w:cs="Arial"/>
          <w:szCs w:val="22"/>
        </w:rPr>
        <w:t xml:space="preserve"> bei, indem für alle Beteiligten die Transaktionskosten bei der Suche bzw. der Produktion von Daten und Inputs gesenkt we</w:t>
      </w:r>
      <w:r w:rsidRPr="000E5A31">
        <w:rPr>
          <w:rFonts w:cs="Arial"/>
          <w:szCs w:val="22"/>
        </w:rPr>
        <w:t>r</w:t>
      </w:r>
      <w:r w:rsidRPr="000E5A31">
        <w:rPr>
          <w:rFonts w:cs="Arial"/>
          <w:szCs w:val="22"/>
        </w:rPr>
        <w:t>den. Dies ist besonders relevant, da der Auf- und Ausbau sich selbst tragender und koste</w:t>
      </w:r>
      <w:r w:rsidRPr="000E5A31">
        <w:rPr>
          <w:rFonts w:cs="Arial"/>
          <w:szCs w:val="22"/>
        </w:rPr>
        <w:t>n</w:t>
      </w:r>
      <w:r w:rsidRPr="000E5A31">
        <w:rPr>
          <w:rFonts w:cs="Arial"/>
          <w:szCs w:val="22"/>
        </w:rPr>
        <w:t>günstiger Märkte für RE/EE weltweit relativ ähnlichen „Gesetzmäßigkeiten“ folgt, d.h. es müssen stets dieselben Fragen in Betracht gezogen werden. Fehlt nur ein wesentliches Element, stockt die „Maschine“. Gleichzeitig gibt es aber angesichts der sich rasant entw</w:t>
      </w:r>
      <w:r w:rsidRPr="000E5A31">
        <w:rPr>
          <w:rFonts w:cs="Arial"/>
          <w:szCs w:val="22"/>
        </w:rPr>
        <w:t>i</w:t>
      </w:r>
      <w:r w:rsidRPr="000E5A31">
        <w:rPr>
          <w:rFonts w:cs="Arial"/>
          <w:szCs w:val="22"/>
        </w:rPr>
        <w:t xml:space="preserve">ckelnden technologischen und industriellen Möglichkeiten keinen allgemein akzeptierten und </w:t>
      </w:r>
      <w:r w:rsidR="001462ED">
        <w:rPr>
          <w:rFonts w:cs="Arial"/>
          <w:szCs w:val="22"/>
        </w:rPr>
        <w:t>etablierten</w:t>
      </w:r>
      <w:r w:rsidRPr="000E5A31">
        <w:rPr>
          <w:rFonts w:cs="Arial"/>
          <w:szCs w:val="22"/>
        </w:rPr>
        <w:t xml:space="preserve"> Kanon gesicherten Wissens und guter Praktiken, d.h. vorhandenes Wissen muss jeden Tag aufs Neue einer kritischen Wertung unterzogen werden. Dies trifft ganz besonders auf die Frage zu, wie sich sozioökonomische Effekte von RE/EE optimieren lassen; hier steht die Generierung von Wissen, auch und gerade mit Blick auf politische und wirtschaftliche Planungs- und Entscheidungsprozesse, noch weitgehend am Anfang. Es ist daher weit rat</w:t>
      </w:r>
      <w:r w:rsidRPr="000E5A31">
        <w:rPr>
          <w:rFonts w:cs="Arial"/>
          <w:szCs w:val="22"/>
        </w:rPr>
        <w:t>i</w:t>
      </w:r>
      <w:r w:rsidRPr="000E5A31">
        <w:rPr>
          <w:rFonts w:cs="Arial"/>
          <w:szCs w:val="22"/>
        </w:rPr>
        <w:t xml:space="preserve">onaler, einen kooperativen, netzwerkbasierten Ansatz zu verfolgen, bei dem verfügbares </w:t>
      </w:r>
      <w:r w:rsidRPr="000E5A31">
        <w:rPr>
          <w:rFonts w:cs="Arial"/>
          <w:szCs w:val="22"/>
        </w:rPr>
        <w:t>o</w:t>
      </w:r>
      <w:r w:rsidRPr="000E5A31">
        <w:rPr>
          <w:rFonts w:cs="Arial"/>
          <w:szCs w:val="22"/>
        </w:rPr>
        <w:t>der entstehendes Fach- und Erfahrungswissen über unterschiedliche Kanäle, inkl. interakt</w:t>
      </w:r>
      <w:r w:rsidRPr="000E5A31">
        <w:rPr>
          <w:rFonts w:cs="Arial"/>
          <w:szCs w:val="22"/>
        </w:rPr>
        <w:t>i</w:t>
      </w:r>
      <w:r w:rsidRPr="000E5A31">
        <w:rPr>
          <w:rFonts w:cs="Arial"/>
          <w:szCs w:val="22"/>
        </w:rPr>
        <w:t>ver internetbasierter Arbeitsplattformen, schnell, kostengünstig und umfänglich mobilisiert und evaluiert wird, anstatt zeitgleich und unabhängig voneinander nach dem „Trial-and-Error“-Prinzip zu denselben Fragen zu arbeiten. Bei ersterem ist der Ertrag für die Beteiligten am Ende größer ist als der Einsatz; bei letzterem verhält es sich umgekehrt.</w:t>
      </w:r>
    </w:p>
    <w:p w:rsidR="005F0A1C" w:rsidRPr="000E5A31" w:rsidRDefault="005F0A1C" w:rsidP="005F0A1C">
      <w:pPr>
        <w:autoSpaceDE w:val="0"/>
        <w:autoSpaceDN w:val="0"/>
        <w:adjustRightInd w:val="0"/>
        <w:spacing w:after="120"/>
        <w:rPr>
          <w:rFonts w:cs="Arial"/>
          <w:szCs w:val="22"/>
        </w:rPr>
      </w:pPr>
      <w:r w:rsidRPr="000E5A31">
        <w:rPr>
          <w:rFonts w:cs="Arial"/>
          <w:szCs w:val="22"/>
        </w:rPr>
        <w:t xml:space="preserve">Neben der Entwicklung der fachlichen und </w:t>
      </w:r>
      <w:r w:rsidR="000E5A31" w:rsidRPr="000E5A31">
        <w:rPr>
          <w:rFonts w:cs="Arial"/>
          <w:szCs w:val="22"/>
        </w:rPr>
        <w:t>organisationalen</w:t>
      </w:r>
      <w:r w:rsidRPr="000E5A31">
        <w:rPr>
          <w:rFonts w:cs="Arial"/>
          <w:szCs w:val="22"/>
        </w:rPr>
        <w:t xml:space="preserve"> Kompetenzen der beteiligten Personen und Institutionen dient der Aufbau netzwerkbasierter Kooperationsbeziehungen auch der langfristigen Absicherung der Projektergebnisse. Die </w:t>
      </w:r>
      <w:r w:rsidRPr="000E5A31">
        <w:rPr>
          <w:rFonts w:cs="Arial"/>
          <w:b/>
          <w:szCs w:val="22"/>
        </w:rPr>
        <w:t>Nachhaltigkeit</w:t>
      </w:r>
      <w:r w:rsidRPr="000E5A31">
        <w:rPr>
          <w:rFonts w:cs="Arial"/>
          <w:szCs w:val="22"/>
        </w:rPr>
        <w:t xml:space="preserve"> dieses Vo</w:t>
      </w:r>
      <w:r w:rsidRPr="000E5A31">
        <w:rPr>
          <w:rFonts w:cs="Arial"/>
          <w:szCs w:val="22"/>
        </w:rPr>
        <w:t>r</w:t>
      </w:r>
      <w:r w:rsidRPr="000E5A31">
        <w:rPr>
          <w:rFonts w:cs="Arial"/>
          <w:szCs w:val="22"/>
        </w:rPr>
        <w:t>gehens hängt also in hohem Maße von der aktiven und substantiellen Beteiligung aller rel</w:t>
      </w:r>
      <w:r w:rsidRPr="000E5A31">
        <w:rPr>
          <w:rFonts w:cs="Arial"/>
          <w:szCs w:val="22"/>
        </w:rPr>
        <w:t>e</w:t>
      </w:r>
      <w:r w:rsidRPr="000E5A31">
        <w:rPr>
          <w:rFonts w:cs="Arial"/>
          <w:szCs w:val="22"/>
        </w:rPr>
        <w:t>vanten Akteure ab. Für die finanzielle Nachhaltigkeit wird es entscheidend darauf anko</w:t>
      </w:r>
      <w:r w:rsidRPr="000E5A31">
        <w:rPr>
          <w:rFonts w:cs="Arial"/>
          <w:szCs w:val="22"/>
        </w:rPr>
        <w:t>m</w:t>
      </w:r>
      <w:r w:rsidRPr="000E5A31">
        <w:rPr>
          <w:rFonts w:cs="Arial"/>
          <w:szCs w:val="22"/>
        </w:rPr>
        <w:t xml:space="preserve">men, Eigenbeiträge und Ownership bei den Beteiligten zu fördern und </w:t>
      </w:r>
      <w:r w:rsidR="0034383F">
        <w:rPr>
          <w:rFonts w:cs="Arial"/>
          <w:szCs w:val="22"/>
        </w:rPr>
        <w:t xml:space="preserve">zu </w:t>
      </w:r>
      <w:r w:rsidRPr="000E5A31">
        <w:rPr>
          <w:rFonts w:cs="Arial"/>
          <w:szCs w:val="22"/>
        </w:rPr>
        <w:t>sichern.</w:t>
      </w:r>
    </w:p>
    <w:p w:rsidR="005F0A1C" w:rsidRPr="000E5A31" w:rsidRDefault="005F0A1C" w:rsidP="005F0A1C">
      <w:pPr>
        <w:autoSpaceDE w:val="0"/>
        <w:autoSpaceDN w:val="0"/>
        <w:adjustRightInd w:val="0"/>
        <w:spacing w:after="120"/>
        <w:rPr>
          <w:rFonts w:cs="Arial"/>
          <w:szCs w:val="22"/>
        </w:rPr>
      </w:pPr>
      <w:r w:rsidRPr="000E5A31">
        <w:rPr>
          <w:rFonts w:cs="Arial"/>
          <w:szCs w:val="22"/>
        </w:rPr>
        <w:t>Der Erfolg dieses Ansatzes beruht fundamental auf der Bereitschaft zur Kooperation. Diese Bereitschaft ist jedoch nicht überall gegeben, und schon gar nicht im Energiebereich, der als eine der letzten Bastionen staatlicher Herrschaft (miss)verstanden wird. Der Grund hierfür ist auch, dass die meist hochgradig subventionierten Energieleistungen bislang als ein zentrales Element staatlicher Klientelpolitik dienten. Energiepolitik war daher auch stets und vor allem ein Instrument der Innenpolitik. Diese hochgradige Politisierung und Vermachtung erschwert die Öffnung und den Austausch mit anderen, auch wenn es in den letzten Jahren unübe</w:t>
      </w:r>
      <w:r w:rsidRPr="000E5A31">
        <w:rPr>
          <w:rFonts w:cs="Arial"/>
          <w:szCs w:val="22"/>
        </w:rPr>
        <w:t>r</w:t>
      </w:r>
      <w:r w:rsidRPr="000E5A31">
        <w:rPr>
          <w:rFonts w:cs="Arial"/>
          <w:szCs w:val="22"/>
        </w:rPr>
        <w:t xml:space="preserve">sehbare Fortschritte gegeben hat. Interessanterweise erscheint die Bereitschaft zum Dialog über Ländergrenzen hinweg (gerade auch im MENA-Rahmen) mittlerweile weiter entwickelt als die Bereitschaft zum Dialog auf Landesebene über Sektorgrenzen hinweg. </w:t>
      </w:r>
    </w:p>
    <w:p w:rsidR="005F0A1C" w:rsidRPr="000E5A31" w:rsidRDefault="005F0A1C" w:rsidP="005F0A1C">
      <w:pPr>
        <w:autoSpaceDE w:val="0"/>
        <w:autoSpaceDN w:val="0"/>
        <w:adjustRightInd w:val="0"/>
        <w:spacing w:after="120"/>
        <w:rPr>
          <w:rFonts w:cs="Arial"/>
          <w:szCs w:val="22"/>
        </w:rPr>
      </w:pPr>
      <w:r w:rsidRPr="000E5A31">
        <w:rPr>
          <w:rFonts w:cs="Arial"/>
          <w:szCs w:val="22"/>
        </w:rPr>
        <w:lastRenderedPageBreak/>
        <w:t>Die politischen Veränderungsprozesse in vielen MENA-Ländern sind aus all diesen Gründen von größter Bedeutung für das Vorhaben. Sie bergen langfristig ein großes Potential, auch wenn kurzfristig die Gefahren überwiegen. Dies war gerade in Tunesien und Ägypten zu s</w:t>
      </w:r>
      <w:r w:rsidRPr="000E5A31">
        <w:rPr>
          <w:rFonts w:cs="Arial"/>
          <w:szCs w:val="22"/>
        </w:rPr>
        <w:t>e</w:t>
      </w:r>
      <w:r w:rsidRPr="000E5A31">
        <w:rPr>
          <w:rFonts w:cs="Arial"/>
          <w:szCs w:val="22"/>
        </w:rPr>
        <w:t>hen, wo die Entwicklung der notwendigen Rahmenbedingungen für die Nutzung nachhaltiger Energien in den Jahren 2011-14 weitgehend zum Erliegen kam. Zu den größten Risiken zählt daher - neben einer erneuten oder voranschreitenden Eskalation der inner- und zw</w:t>
      </w:r>
      <w:r w:rsidRPr="000E5A31">
        <w:rPr>
          <w:rFonts w:cs="Arial"/>
          <w:szCs w:val="22"/>
        </w:rPr>
        <w:t>i</w:t>
      </w:r>
      <w:r w:rsidRPr="000E5A31">
        <w:rPr>
          <w:rFonts w:cs="Arial"/>
          <w:szCs w:val="22"/>
        </w:rPr>
        <w:t>schenstaatlichen Konflikte – v.a. die mangelnde Unterstützung durch politische Entsche</w:t>
      </w:r>
      <w:r w:rsidRPr="000E5A31">
        <w:rPr>
          <w:rFonts w:cs="Arial"/>
          <w:szCs w:val="22"/>
        </w:rPr>
        <w:t>i</w:t>
      </w:r>
      <w:r w:rsidRPr="000E5A31">
        <w:rPr>
          <w:rFonts w:cs="Arial"/>
          <w:szCs w:val="22"/>
        </w:rPr>
        <w:t>dungsträger; der aktive Widerstand mächtiger Vetospieler (v.a. der staatlichen Versorger); sowie die unzureichende Mitwirkung privater bzw. öffentlicher Institutionen wegen divergi</w:t>
      </w:r>
      <w:r w:rsidRPr="000E5A31">
        <w:rPr>
          <w:rFonts w:cs="Arial"/>
          <w:szCs w:val="22"/>
        </w:rPr>
        <w:t>e</w:t>
      </w:r>
      <w:r w:rsidRPr="000E5A31">
        <w:rPr>
          <w:rFonts w:cs="Arial"/>
          <w:szCs w:val="22"/>
        </w:rPr>
        <w:t xml:space="preserve">render Interessen und fehlender Kapazitäten. Ein weiteres </w:t>
      </w:r>
      <w:r w:rsidRPr="000E5A31">
        <w:rPr>
          <w:rFonts w:cs="Arial"/>
          <w:b/>
          <w:bCs/>
          <w:szCs w:val="22"/>
        </w:rPr>
        <w:t xml:space="preserve">Risiko </w:t>
      </w:r>
      <w:r w:rsidRPr="000E5A31">
        <w:rPr>
          <w:rFonts w:cs="Arial"/>
          <w:szCs w:val="22"/>
        </w:rPr>
        <w:t>liegt in der weit verbreit</w:t>
      </w:r>
      <w:r w:rsidRPr="000E5A31">
        <w:rPr>
          <w:rFonts w:cs="Arial"/>
          <w:szCs w:val="22"/>
        </w:rPr>
        <w:t>e</w:t>
      </w:r>
      <w:r w:rsidRPr="000E5A31">
        <w:rPr>
          <w:rFonts w:cs="Arial"/>
          <w:szCs w:val="22"/>
        </w:rPr>
        <w:t>ten Neigung zum „Schwarzfahrer</w:t>
      </w:r>
      <w:r w:rsidR="00561F7F" w:rsidRPr="000E5A31">
        <w:rPr>
          <w:rFonts w:cs="Arial"/>
          <w:szCs w:val="22"/>
        </w:rPr>
        <w:t>tum</w:t>
      </w:r>
      <w:r w:rsidRPr="000E5A31">
        <w:rPr>
          <w:rFonts w:cs="Arial"/>
          <w:szCs w:val="22"/>
        </w:rPr>
        <w:t>“: also bloß zu nehmen, ohne auch zu geben.</w:t>
      </w:r>
    </w:p>
    <w:p w:rsidR="005F0A1C" w:rsidRPr="000E5A31" w:rsidRDefault="005F0A1C" w:rsidP="005F0A1C">
      <w:pPr>
        <w:autoSpaceDE w:val="0"/>
        <w:autoSpaceDN w:val="0"/>
        <w:adjustRightInd w:val="0"/>
        <w:spacing w:after="120"/>
        <w:rPr>
          <w:rFonts w:cs="Arial"/>
          <w:szCs w:val="22"/>
        </w:rPr>
      </w:pPr>
      <w:r w:rsidRPr="000E5A31">
        <w:rPr>
          <w:rFonts w:cs="Arial"/>
          <w:szCs w:val="22"/>
        </w:rPr>
        <w:t>D</w:t>
      </w:r>
      <w:r w:rsidR="00561F7F" w:rsidRPr="000E5A31">
        <w:rPr>
          <w:rFonts w:cs="Arial"/>
          <w:szCs w:val="22"/>
        </w:rPr>
        <w:t xml:space="preserve">as Gesamtrisiko für die Zielerreichung wird </w:t>
      </w:r>
      <w:r w:rsidRPr="000E5A31">
        <w:rPr>
          <w:rFonts w:cs="Arial"/>
          <w:szCs w:val="22"/>
        </w:rPr>
        <w:t>weiterhin mit ‚hoch’ bewertet.</w:t>
      </w:r>
    </w:p>
    <w:p w:rsidR="005F0A1C" w:rsidRPr="000E5A31" w:rsidRDefault="005F0A1C" w:rsidP="005F0A1C">
      <w:pPr>
        <w:autoSpaceDE w:val="0"/>
        <w:autoSpaceDN w:val="0"/>
        <w:adjustRightInd w:val="0"/>
        <w:spacing w:after="120"/>
        <w:rPr>
          <w:rFonts w:cs="Arial"/>
          <w:szCs w:val="22"/>
        </w:rPr>
      </w:pPr>
      <w:r w:rsidRPr="000E5A31">
        <w:rPr>
          <w:rFonts w:cs="Arial"/>
          <w:szCs w:val="22"/>
        </w:rPr>
        <w:t>Die Beeinflu</w:t>
      </w:r>
      <w:r w:rsidR="00561F7F" w:rsidRPr="000E5A31">
        <w:rPr>
          <w:rFonts w:cs="Arial"/>
          <w:szCs w:val="22"/>
        </w:rPr>
        <w:t>ss</w:t>
      </w:r>
      <w:r w:rsidRPr="000E5A31">
        <w:rPr>
          <w:rFonts w:cs="Arial"/>
          <w:szCs w:val="22"/>
        </w:rPr>
        <w:t xml:space="preserve">barkeit der Risiken wird </w:t>
      </w:r>
      <w:r w:rsidR="00561F7F" w:rsidRPr="000E5A31">
        <w:rPr>
          <w:rFonts w:cs="Arial"/>
          <w:szCs w:val="22"/>
        </w:rPr>
        <w:t xml:space="preserve">dagegen </w:t>
      </w:r>
      <w:r w:rsidRPr="000E5A31">
        <w:rPr>
          <w:rFonts w:cs="Arial"/>
          <w:szCs w:val="22"/>
        </w:rPr>
        <w:t xml:space="preserve">insgesamt als ‚gering’ </w:t>
      </w:r>
      <w:r w:rsidR="00561F7F" w:rsidRPr="000E5A31">
        <w:rPr>
          <w:rFonts w:cs="Arial"/>
          <w:szCs w:val="22"/>
        </w:rPr>
        <w:t>erachtet</w:t>
      </w:r>
      <w:r w:rsidRPr="000E5A31">
        <w:rPr>
          <w:rFonts w:cs="Arial"/>
          <w:szCs w:val="22"/>
        </w:rPr>
        <w:t>.</w:t>
      </w:r>
    </w:p>
    <w:p w:rsidR="00561F7F" w:rsidRPr="000E5A31" w:rsidRDefault="00561F7F" w:rsidP="00561F7F">
      <w:pPr>
        <w:autoSpaceDE w:val="0"/>
        <w:autoSpaceDN w:val="0"/>
        <w:adjustRightInd w:val="0"/>
        <w:rPr>
          <w:rFonts w:cs="Arial"/>
          <w:szCs w:val="22"/>
        </w:rPr>
      </w:pPr>
      <w:r w:rsidRPr="000E5A31">
        <w:rPr>
          <w:rFonts w:cs="Arial"/>
          <w:szCs w:val="22"/>
        </w:rPr>
        <w:t>Allerdings kann das Vorhaben (in Abstimmung mit dem BMZ) flexibel auf eine Verschlecht</w:t>
      </w:r>
      <w:r w:rsidRPr="000E5A31">
        <w:rPr>
          <w:rFonts w:cs="Arial"/>
          <w:szCs w:val="22"/>
        </w:rPr>
        <w:t>e</w:t>
      </w:r>
      <w:r w:rsidRPr="000E5A31">
        <w:rPr>
          <w:rFonts w:cs="Arial"/>
          <w:szCs w:val="22"/>
        </w:rPr>
        <w:t>rung der Sicherheitslage oder der Rahmenbedingungen in einem Land oder an einem Standort reagieren, indem es z.B. geographische oder thematische Schwerpunkte verschiebt oder verstärkt über nationale und regionale Partnerorganisationen arbeitet.</w:t>
      </w:r>
    </w:p>
    <w:p w:rsidR="00321F4B" w:rsidRPr="000E5A31" w:rsidRDefault="00836FF6" w:rsidP="0012743D">
      <w:pPr>
        <w:pStyle w:val="berschrift1"/>
      </w:pPr>
      <w:bookmarkStart w:id="17" w:name="_Toc396989044"/>
      <w:r w:rsidRPr="000E5A31">
        <w:t>B.3.</w:t>
      </w:r>
      <w:r w:rsidRPr="000E5A31">
        <w:tab/>
        <w:t>Handlungsbedarf</w:t>
      </w:r>
      <w:bookmarkEnd w:id="17"/>
    </w:p>
    <w:p w:rsidR="00754346" w:rsidRPr="000E5A31" w:rsidRDefault="00F545E4" w:rsidP="00D142F2">
      <w:pPr>
        <w:autoSpaceDE w:val="0"/>
        <w:autoSpaceDN w:val="0"/>
        <w:adjustRightInd w:val="0"/>
        <w:spacing w:line="252" w:lineRule="auto"/>
        <w:jc w:val="both"/>
        <w:rPr>
          <w:b/>
        </w:rPr>
      </w:pPr>
      <w:r w:rsidRPr="000E5A31">
        <w:t>Angesichts der konsensuell vereinbarten</w:t>
      </w:r>
      <w:r w:rsidR="00122660" w:rsidRPr="000E5A31">
        <w:t xml:space="preserve"> </w:t>
      </w:r>
      <w:r w:rsidRPr="000E5A31">
        <w:t xml:space="preserve">Neuorientierung des </w:t>
      </w:r>
      <w:r w:rsidR="00B12D30" w:rsidRPr="000E5A31">
        <w:t>Vorhabens</w:t>
      </w:r>
      <w:r w:rsidRPr="000E5A31">
        <w:t xml:space="preserve"> best</w:t>
      </w:r>
      <w:r w:rsidR="00122660" w:rsidRPr="000E5A31">
        <w:t>eht bei A</w:t>
      </w:r>
      <w:r w:rsidR="00122660" w:rsidRPr="000E5A31">
        <w:t>n</w:t>
      </w:r>
      <w:r w:rsidR="00122660" w:rsidRPr="000E5A31">
        <w:t xml:space="preserve">nahme durch das BMZ </w:t>
      </w:r>
      <w:r w:rsidRPr="000E5A31">
        <w:t>nach Einschätzung des BE kein weiterer aku</w:t>
      </w:r>
      <w:r w:rsidR="00122660" w:rsidRPr="000E5A31">
        <w:t>t</w:t>
      </w:r>
      <w:r w:rsidRPr="000E5A31">
        <w:t>er Handlungsbedarf.</w:t>
      </w:r>
    </w:p>
    <w:sectPr w:rsidR="00754346" w:rsidRPr="000E5A31" w:rsidSect="0012743D">
      <w:headerReference w:type="default" r:id="rId8"/>
      <w:footerReference w:type="default" r:id="rId9"/>
      <w:headerReference w:type="first" r:id="rId10"/>
      <w:footerReference w:type="first" r:id="rId11"/>
      <w:pgSz w:w="11906" w:h="16838" w:code="9"/>
      <w:pgMar w:top="2157" w:right="1418" w:bottom="1134" w:left="1418"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A18" w:rsidRDefault="00D05A18">
      <w:r>
        <w:separator/>
      </w:r>
    </w:p>
  </w:endnote>
  <w:endnote w:type="continuationSeparator" w:id="0">
    <w:p w:rsidR="00D05A18" w:rsidRDefault="00D05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1)">
    <w:altName w:val="Arial"/>
    <w:panose1 w:val="00000000000000000000"/>
    <w:charset w:val="00"/>
    <w:family w:val="swiss"/>
    <w:notTrueType/>
    <w:pitch w:val="variable"/>
    <w:sig w:usb0="00000003" w:usb1="00000000" w:usb2="00000000" w:usb3="00000000" w:csb0="00000001" w:csb1="00000000"/>
  </w:font>
  <w:font w:name="Times New (W1)">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BB3" w:rsidRPr="008919E6" w:rsidRDefault="00FC0BB3" w:rsidP="008919E6">
    <w:pPr>
      <w:pStyle w:val="Fuzeile"/>
      <w:tabs>
        <w:tab w:val="left" w:pos="4095"/>
        <w:tab w:val="center" w:pos="4535"/>
      </w:tabs>
      <w:jc w:val="left"/>
    </w:pPr>
    <w:r>
      <w:tab/>
    </w:r>
    <w:r>
      <w:tab/>
    </w:r>
    <w:r w:rsidRPr="008919E6">
      <w:fldChar w:fldCharType="begin"/>
    </w:r>
    <w:r w:rsidRPr="008919E6">
      <w:instrText xml:space="preserve"> PAGE </w:instrText>
    </w:r>
    <w:r w:rsidRPr="008919E6">
      <w:fldChar w:fldCharType="separate"/>
    </w:r>
    <w:r w:rsidR="00EA4999">
      <w:rPr>
        <w:noProof/>
      </w:rPr>
      <w:t>20</w:t>
    </w:r>
    <w:r w:rsidRPr="008919E6">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BB3" w:rsidRPr="008A782D" w:rsidRDefault="00FC0BB3" w:rsidP="00CC09B4">
    <w:pPr>
      <w:pStyle w:val="Fuzeile"/>
      <w:rPr>
        <w:sz w:val="18"/>
        <w:szCs w:val="18"/>
      </w:rPr>
    </w:pPr>
    <w:r w:rsidRPr="00C17D09">
      <w:rPr>
        <w:sz w:val="14"/>
        <w:szCs w:val="14"/>
      </w:rPr>
      <w:t>Form 24-2</w:t>
    </w:r>
    <w:r>
      <w:rPr>
        <w:sz w:val="14"/>
        <w:szCs w:val="14"/>
      </w:rPr>
      <w:t>9</w:t>
    </w:r>
    <w:r w:rsidRPr="00C17D09">
      <w:rPr>
        <w:sz w:val="14"/>
        <w:szCs w:val="14"/>
      </w:rPr>
      <w:t>-</w:t>
    </w:r>
    <w:r>
      <w:rPr>
        <w:sz w:val="14"/>
        <w:szCs w:val="14"/>
      </w:rPr>
      <w:t>7-de</w:t>
    </w:r>
    <w:r w:rsidRPr="008A782D">
      <w:rPr>
        <w:sz w:val="18"/>
        <w:szCs w:val="18"/>
      </w:rPr>
      <w:tab/>
    </w:r>
    <w:r w:rsidRPr="008A782D">
      <w:rPr>
        <w:sz w:val="18"/>
        <w:szCs w:val="18"/>
      </w:rPr>
      <w:fldChar w:fldCharType="begin"/>
    </w:r>
    <w:r w:rsidRPr="008A782D">
      <w:rPr>
        <w:sz w:val="18"/>
        <w:szCs w:val="18"/>
      </w:rPr>
      <w:instrText xml:space="preserve"> PAGE </w:instrText>
    </w:r>
    <w:r w:rsidRPr="008A782D">
      <w:rPr>
        <w:sz w:val="18"/>
        <w:szCs w:val="18"/>
      </w:rPr>
      <w:fldChar w:fldCharType="separate"/>
    </w:r>
    <w:r w:rsidR="00EA4999">
      <w:rPr>
        <w:noProof/>
        <w:sz w:val="18"/>
        <w:szCs w:val="18"/>
      </w:rPr>
      <w:t>1</w:t>
    </w:r>
    <w:r w:rsidRPr="008A782D">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A18" w:rsidRDefault="00D05A18">
      <w:r>
        <w:separator/>
      </w:r>
    </w:p>
  </w:footnote>
  <w:footnote w:type="continuationSeparator" w:id="0">
    <w:p w:rsidR="00D05A18" w:rsidRDefault="00D05A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0A0" w:firstRow="1" w:lastRow="0" w:firstColumn="1" w:lastColumn="0" w:noHBand="0" w:noVBand="0"/>
    </w:tblPr>
    <w:tblGrid>
      <w:gridCol w:w="7560"/>
      <w:gridCol w:w="1512"/>
    </w:tblGrid>
    <w:tr w:rsidR="00FC0BB3" w:rsidTr="004E1CD9">
      <w:tc>
        <w:tcPr>
          <w:tcW w:w="7560" w:type="dxa"/>
          <w:vAlign w:val="center"/>
        </w:tcPr>
        <w:p w:rsidR="00FC0BB3" w:rsidRPr="005838C4" w:rsidRDefault="00FC0BB3" w:rsidP="005838C4">
          <w:pPr>
            <w:pStyle w:val="TitelKopfzeile"/>
            <w:spacing w:before="0" w:after="0"/>
          </w:pPr>
          <w:r w:rsidRPr="005838C4">
            <w:rPr>
              <w:szCs w:val="22"/>
            </w:rPr>
            <w:t>Beschäftigungsförderung durch Erneuerbare Energie und Energieeffiz</w:t>
          </w:r>
          <w:r w:rsidRPr="005838C4">
            <w:rPr>
              <w:szCs w:val="22"/>
            </w:rPr>
            <w:t>i</w:t>
          </w:r>
          <w:r w:rsidRPr="005838C4">
            <w:rPr>
              <w:szCs w:val="22"/>
            </w:rPr>
            <w:t xml:space="preserve">enz in der MENA Region (RE-ACTIVATE), </w:t>
          </w:r>
          <w:r w:rsidRPr="005838C4">
            <w:t>PN: 2013.2020.9</w:t>
          </w:r>
        </w:p>
      </w:tc>
      <w:tc>
        <w:tcPr>
          <w:tcW w:w="1512" w:type="dxa"/>
        </w:tcPr>
        <w:p w:rsidR="00FC0BB3" w:rsidRDefault="00FC0BB3" w:rsidP="00A60EA1">
          <w:pPr>
            <w:pStyle w:val="Kopfzeile"/>
            <w:tabs>
              <w:tab w:val="clear" w:pos="9072"/>
            </w:tabs>
            <w:ind w:right="-283"/>
            <w:jc w:val="right"/>
            <w:rPr>
              <w:rFonts w:cs="Arial"/>
              <w:szCs w:val="22"/>
            </w:rPr>
          </w:pPr>
          <w:r>
            <w:rPr>
              <w:rFonts w:cs="Arial"/>
              <w:noProof/>
              <w:szCs w:val="22"/>
            </w:rPr>
            <w:drawing>
              <wp:inline distT="0" distB="0" distL="0" distR="0">
                <wp:extent cx="900000" cy="900000"/>
                <wp:effectExtent l="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tzlogo-standard-sw"/>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00000" cy="900000"/>
                        </a:xfrm>
                        <a:prstGeom prst="rect">
                          <a:avLst/>
                        </a:prstGeom>
                        <a:noFill/>
                        <a:ln w="9525">
                          <a:noFill/>
                          <a:miter lim="800000"/>
                          <a:headEnd/>
                          <a:tailEnd/>
                        </a:ln>
                      </pic:spPr>
                    </pic:pic>
                  </a:graphicData>
                </a:graphic>
              </wp:inline>
            </w:drawing>
          </w:r>
        </w:p>
      </w:tc>
    </w:tr>
  </w:tbl>
  <w:p w:rsidR="00FC0BB3" w:rsidRPr="0012743D" w:rsidRDefault="00FC0BB3" w:rsidP="0012743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72" w:type="dxa"/>
      <w:tblLayout w:type="fixed"/>
      <w:tblCellMar>
        <w:left w:w="0" w:type="dxa"/>
        <w:right w:w="0" w:type="dxa"/>
      </w:tblCellMar>
      <w:tblLook w:val="00A0" w:firstRow="1" w:lastRow="0" w:firstColumn="1" w:lastColumn="0" w:noHBand="0" w:noVBand="0"/>
    </w:tblPr>
    <w:tblGrid>
      <w:gridCol w:w="7338"/>
      <w:gridCol w:w="1734"/>
    </w:tblGrid>
    <w:tr w:rsidR="00FC0BB3" w:rsidRPr="00C7317B" w:rsidTr="00C7317B">
      <w:tc>
        <w:tcPr>
          <w:tcW w:w="7338" w:type="dxa"/>
        </w:tcPr>
        <w:p w:rsidR="00FC0BB3" w:rsidRPr="0014383B" w:rsidRDefault="00FC0BB3" w:rsidP="00257818">
          <w:pPr>
            <w:pStyle w:val="Kopfzeile"/>
            <w:tabs>
              <w:tab w:val="clear" w:pos="9072"/>
            </w:tabs>
            <w:spacing w:before="600" w:after="240"/>
            <w:rPr>
              <w:b/>
              <w:bCs/>
              <w:szCs w:val="22"/>
            </w:rPr>
          </w:pPr>
          <w:r w:rsidRPr="0014383B">
            <w:rPr>
              <w:rFonts w:ascii="Arial (W1)" w:hAnsi="Arial (W1)" w:cs="Times New (W1)"/>
              <w:b/>
              <w:bCs/>
              <w:szCs w:val="22"/>
            </w:rPr>
            <w:t xml:space="preserve">Fortschrittsbericht zu einer </w:t>
          </w:r>
          <w:r>
            <w:rPr>
              <w:rFonts w:ascii="Arial (W1)" w:hAnsi="Arial (W1)" w:cs="Times New (W1)"/>
              <w:b/>
              <w:bCs/>
              <w:szCs w:val="22"/>
            </w:rPr>
            <w:t xml:space="preserve">alleinstehenden </w:t>
          </w:r>
          <w:r w:rsidRPr="0014383B">
            <w:rPr>
              <w:rFonts w:ascii="Arial (W1)" w:hAnsi="Arial (W1)" w:cs="Times New (W1)"/>
              <w:b/>
              <w:bCs/>
              <w:szCs w:val="22"/>
            </w:rPr>
            <w:t>TZ-</w:t>
          </w:r>
          <w:r>
            <w:rPr>
              <w:rFonts w:ascii="Arial (W1)" w:hAnsi="Arial (W1)" w:cs="Times New (W1)"/>
              <w:b/>
              <w:bCs/>
              <w:szCs w:val="22"/>
            </w:rPr>
            <w:t>M</w:t>
          </w:r>
          <w:r w:rsidRPr="0014383B">
            <w:rPr>
              <w:rFonts w:ascii="Arial (W1)" w:hAnsi="Arial (W1)" w:cs="Times New (W1)"/>
              <w:b/>
              <w:bCs/>
              <w:szCs w:val="22"/>
            </w:rPr>
            <w:t>aßnahme</w:t>
          </w:r>
        </w:p>
      </w:tc>
      <w:tc>
        <w:tcPr>
          <w:tcW w:w="1734" w:type="dxa"/>
        </w:tcPr>
        <w:p w:rsidR="00FC0BB3" w:rsidRPr="00C7317B" w:rsidRDefault="00FC0BB3" w:rsidP="00A60EA1">
          <w:pPr>
            <w:pStyle w:val="Kopfzeile"/>
            <w:tabs>
              <w:tab w:val="clear" w:pos="9072"/>
            </w:tabs>
            <w:ind w:right="-283"/>
            <w:jc w:val="right"/>
            <w:rPr>
              <w:rFonts w:cs="Arial"/>
              <w:szCs w:val="22"/>
            </w:rPr>
          </w:pPr>
          <w:r>
            <w:rPr>
              <w:rFonts w:cs="Arial"/>
              <w:noProof/>
              <w:szCs w:val="22"/>
            </w:rPr>
            <w:drawing>
              <wp:inline distT="0" distB="0" distL="0" distR="0">
                <wp:extent cx="900000" cy="900000"/>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tzlogo-standard-sw"/>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00000" cy="900000"/>
                        </a:xfrm>
                        <a:prstGeom prst="rect">
                          <a:avLst/>
                        </a:prstGeom>
                        <a:noFill/>
                        <a:ln w="9525">
                          <a:noFill/>
                          <a:miter lim="800000"/>
                          <a:headEnd/>
                          <a:tailEnd/>
                        </a:ln>
                      </pic:spPr>
                    </pic:pic>
                  </a:graphicData>
                </a:graphic>
              </wp:inline>
            </w:drawing>
          </w:r>
        </w:p>
      </w:tc>
    </w:tr>
  </w:tbl>
  <w:p w:rsidR="00FC0BB3" w:rsidRPr="003B7068" w:rsidRDefault="00FC0BB3" w:rsidP="003B7068">
    <w:pPr>
      <w:pStyle w:val="Kopfzeile"/>
      <w:spacing w:before="480"/>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35DFE"/>
    <w:multiLevelType w:val="hybridMultilevel"/>
    <w:tmpl w:val="2684E6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F81E40"/>
    <w:multiLevelType w:val="hybridMultilevel"/>
    <w:tmpl w:val="53E01EB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0A977AE8"/>
    <w:multiLevelType w:val="hybridMultilevel"/>
    <w:tmpl w:val="88605E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AEF11AB"/>
    <w:multiLevelType w:val="hybridMultilevel"/>
    <w:tmpl w:val="2020B508"/>
    <w:lvl w:ilvl="0" w:tplc="480A3BD2">
      <w:numFmt w:val="bullet"/>
      <w:lvlText w:val="-"/>
      <w:lvlJc w:val="left"/>
      <w:pPr>
        <w:ind w:left="720" w:hanging="360"/>
      </w:pPr>
      <w:rPr>
        <w:rFonts w:ascii="Calibri" w:eastAsiaTheme="minorHAnsi" w:hAnsi="Calibri" w:cstheme="maj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219091C"/>
    <w:multiLevelType w:val="hybridMultilevel"/>
    <w:tmpl w:val="385A3706"/>
    <w:lvl w:ilvl="0" w:tplc="480A3BD2">
      <w:numFmt w:val="bullet"/>
      <w:lvlText w:val="-"/>
      <w:lvlJc w:val="left"/>
      <w:pPr>
        <w:ind w:left="720" w:hanging="360"/>
      </w:pPr>
      <w:rPr>
        <w:rFonts w:ascii="Calibri" w:eastAsiaTheme="minorHAnsi" w:hAnsi="Calibri" w:cstheme="maj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2E22A85"/>
    <w:multiLevelType w:val="hybridMultilevel"/>
    <w:tmpl w:val="88E2D668"/>
    <w:lvl w:ilvl="0" w:tplc="04070001">
      <w:start w:val="1"/>
      <w:numFmt w:val="bullet"/>
      <w:lvlText w:val=""/>
      <w:lvlJc w:val="left"/>
      <w:pPr>
        <w:ind w:left="360" w:hanging="360"/>
      </w:pPr>
      <w:rPr>
        <w:rFonts w:ascii="Symbol" w:hAnsi="Symbol" w:hint="default"/>
      </w:rPr>
    </w:lvl>
    <w:lvl w:ilvl="1" w:tplc="0407000F">
      <w:start w:val="1"/>
      <w:numFmt w:val="decimal"/>
      <w:lvlText w:val="%2."/>
      <w:lvlJc w:val="left"/>
      <w:pPr>
        <w:ind w:left="1080" w:hanging="360"/>
      </w:pPr>
      <w:rPr>
        <w:rFonts w:hint="default"/>
      </w:rPr>
    </w:lvl>
    <w:lvl w:ilvl="2" w:tplc="04070019">
      <w:start w:val="1"/>
      <w:numFmt w:val="lowerLetter"/>
      <w:lvlText w:val="%3."/>
      <w:lvlJc w:val="left"/>
      <w:pPr>
        <w:ind w:left="1800" w:hanging="360"/>
      </w:pPr>
      <w:rPr>
        <w:rFont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1C691AEA"/>
    <w:multiLevelType w:val="hybridMultilevel"/>
    <w:tmpl w:val="AFA85144"/>
    <w:lvl w:ilvl="0" w:tplc="04070001">
      <w:start w:val="1"/>
      <w:numFmt w:val="bullet"/>
      <w:lvlText w:val=""/>
      <w:lvlJc w:val="left"/>
      <w:pPr>
        <w:ind w:left="720" w:hanging="360"/>
      </w:pPr>
      <w:rPr>
        <w:rFonts w:ascii="Symbol" w:hAnsi="Symbol" w:hint="default"/>
      </w:rPr>
    </w:lvl>
    <w:lvl w:ilvl="1" w:tplc="0407000B">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34D6E24"/>
    <w:multiLevelType w:val="hybridMultilevel"/>
    <w:tmpl w:val="D90A0E46"/>
    <w:lvl w:ilvl="0" w:tplc="A220263A">
      <w:start w:val="1"/>
      <w:numFmt w:val="lowerLetter"/>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8">
    <w:nsid w:val="24760C8D"/>
    <w:multiLevelType w:val="hybridMultilevel"/>
    <w:tmpl w:val="5D5043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5137F37"/>
    <w:multiLevelType w:val="hybridMultilevel"/>
    <w:tmpl w:val="FBE4164E"/>
    <w:lvl w:ilvl="0" w:tplc="0854BB6E">
      <w:start w:val="11"/>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0">
    <w:nsid w:val="27F81931"/>
    <w:multiLevelType w:val="hybridMultilevel"/>
    <w:tmpl w:val="3CEEECBE"/>
    <w:lvl w:ilvl="0" w:tplc="F19EF8EA">
      <w:start w:val="1"/>
      <w:numFmt w:val="bullet"/>
      <w:lvlText w:val=""/>
      <w:lvlJc w:val="left"/>
      <w:pPr>
        <w:tabs>
          <w:tab w:val="num" w:pos="720"/>
        </w:tabs>
        <w:ind w:left="720" w:hanging="360"/>
      </w:pPr>
      <w:rPr>
        <w:rFonts w:ascii="Wingdings" w:hAnsi="Wingdings" w:hint="default"/>
      </w:rPr>
    </w:lvl>
    <w:lvl w:ilvl="1" w:tplc="0407000B">
      <w:start w:val="1"/>
      <w:numFmt w:val="bullet"/>
      <w:lvlText w:val=""/>
      <w:lvlJc w:val="left"/>
      <w:pPr>
        <w:tabs>
          <w:tab w:val="num" w:pos="1440"/>
        </w:tabs>
        <w:ind w:left="1440" w:hanging="360"/>
      </w:pPr>
      <w:rPr>
        <w:rFonts w:ascii="Wingdings" w:hAnsi="Wingdings" w:hint="default"/>
      </w:rPr>
    </w:lvl>
    <w:lvl w:ilvl="2" w:tplc="5EAE9574" w:tentative="1">
      <w:start w:val="1"/>
      <w:numFmt w:val="bullet"/>
      <w:lvlText w:val=""/>
      <w:lvlJc w:val="left"/>
      <w:pPr>
        <w:tabs>
          <w:tab w:val="num" w:pos="2160"/>
        </w:tabs>
        <w:ind w:left="2160" w:hanging="360"/>
      </w:pPr>
      <w:rPr>
        <w:rFonts w:ascii="Wingdings" w:hAnsi="Wingdings" w:hint="default"/>
      </w:rPr>
    </w:lvl>
    <w:lvl w:ilvl="3" w:tplc="FF90CB24" w:tentative="1">
      <w:start w:val="1"/>
      <w:numFmt w:val="bullet"/>
      <w:lvlText w:val=""/>
      <w:lvlJc w:val="left"/>
      <w:pPr>
        <w:tabs>
          <w:tab w:val="num" w:pos="2880"/>
        </w:tabs>
        <w:ind w:left="2880" w:hanging="360"/>
      </w:pPr>
      <w:rPr>
        <w:rFonts w:ascii="Wingdings" w:hAnsi="Wingdings" w:hint="default"/>
      </w:rPr>
    </w:lvl>
    <w:lvl w:ilvl="4" w:tplc="A2B6C6A6" w:tentative="1">
      <w:start w:val="1"/>
      <w:numFmt w:val="bullet"/>
      <w:lvlText w:val=""/>
      <w:lvlJc w:val="left"/>
      <w:pPr>
        <w:tabs>
          <w:tab w:val="num" w:pos="3600"/>
        </w:tabs>
        <w:ind w:left="3600" w:hanging="360"/>
      </w:pPr>
      <w:rPr>
        <w:rFonts w:ascii="Wingdings" w:hAnsi="Wingdings" w:hint="default"/>
      </w:rPr>
    </w:lvl>
    <w:lvl w:ilvl="5" w:tplc="864A5C36" w:tentative="1">
      <w:start w:val="1"/>
      <w:numFmt w:val="bullet"/>
      <w:lvlText w:val=""/>
      <w:lvlJc w:val="left"/>
      <w:pPr>
        <w:tabs>
          <w:tab w:val="num" w:pos="4320"/>
        </w:tabs>
        <w:ind w:left="4320" w:hanging="360"/>
      </w:pPr>
      <w:rPr>
        <w:rFonts w:ascii="Wingdings" w:hAnsi="Wingdings" w:hint="default"/>
      </w:rPr>
    </w:lvl>
    <w:lvl w:ilvl="6" w:tplc="19E25462" w:tentative="1">
      <w:start w:val="1"/>
      <w:numFmt w:val="bullet"/>
      <w:lvlText w:val=""/>
      <w:lvlJc w:val="left"/>
      <w:pPr>
        <w:tabs>
          <w:tab w:val="num" w:pos="5040"/>
        </w:tabs>
        <w:ind w:left="5040" w:hanging="360"/>
      </w:pPr>
      <w:rPr>
        <w:rFonts w:ascii="Wingdings" w:hAnsi="Wingdings" w:hint="default"/>
      </w:rPr>
    </w:lvl>
    <w:lvl w:ilvl="7" w:tplc="98E4DA26" w:tentative="1">
      <w:start w:val="1"/>
      <w:numFmt w:val="bullet"/>
      <w:lvlText w:val=""/>
      <w:lvlJc w:val="left"/>
      <w:pPr>
        <w:tabs>
          <w:tab w:val="num" w:pos="5760"/>
        </w:tabs>
        <w:ind w:left="5760" w:hanging="360"/>
      </w:pPr>
      <w:rPr>
        <w:rFonts w:ascii="Wingdings" w:hAnsi="Wingdings" w:hint="default"/>
      </w:rPr>
    </w:lvl>
    <w:lvl w:ilvl="8" w:tplc="70E69134" w:tentative="1">
      <w:start w:val="1"/>
      <w:numFmt w:val="bullet"/>
      <w:lvlText w:val=""/>
      <w:lvlJc w:val="left"/>
      <w:pPr>
        <w:tabs>
          <w:tab w:val="num" w:pos="6480"/>
        </w:tabs>
        <w:ind w:left="6480" w:hanging="360"/>
      </w:pPr>
      <w:rPr>
        <w:rFonts w:ascii="Wingdings" w:hAnsi="Wingdings" w:hint="default"/>
      </w:rPr>
    </w:lvl>
  </w:abstractNum>
  <w:abstractNum w:abstractNumId="11">
    <w:nsid w:val="313C07F5"/>
    <w:multiLevelType w:val="hybridMultilevel"/>
    <w:tmpl w:val="FD6E3138"/>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2">
    <w:nsid w:val="3D1C2BAC"/>
    <w:multiLevelType w:val="hybridMultilevel"/>
    <w:tmpl w:val="5ED23ACC"/>
    <w:lvl w:ilvl="0" w:tplc="480A3BD2">
      <w:numFmt w:val="bullet"/>
      <w:lvlText w:val="-"/>
      <w:lvlJc w:val="left"/>
      <w:pPr>
        <w:ind w:left="720" w:hanging="360"/>
      </w:pPr>
      <w:rPr>
        <w:rFonts w:ascii="Calibri" w:eastAsiaTheme="minorHAnsi" w:hAnsi="Calibri" w:cstheme="maj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454B0B2C"/>
    <w:multiLevelType w:val="hybridMultilevel"/>
    <w:tmpl w:val="4B50C99E"/>
    <w:lvl w:ilvl="0" w:tplc="443E6912">
      <w:start w:val="1"/>
      <w:numFmt w:val="bullet"/>
      <w:lvlText w:val=""/>
      <w:lvlJc w:val="left"/>
      <w:pPr>
        <w:tabs>
          <w:tab w:val="num" w:pos="720"/>
        </w:tabs>
        <w:ind w:left="720" w:hanging="360"/>
      </w:pPr>
      <w:rPr>
        <w:rFonts w:ascii="Wingdings" w:hAnsi="Wingdings" w:hint="default"/>
      </w:rPr>
    </w:lvl>
    <w:lvl w:ilvl="1" w:tplc="0407000B">
      <w:start w:val="1"/>
      <w:numFmt w:val="bullet"/>
      <w:lvlText w:val=""/>
      <w:lvlJc w:val="left"/>
      <w:pPr>
        <w:tabs>
          <w:tab w:val="num" w:pos="1440"/>
        </w:tabs>
        <w:ind w:left="1440" w:hanging="360"/>
      </w:pPr>
      <w:rPr>
        <w:rFonts w:ascii="Wingdings" w:hAnsi="Wingdings" w:hint="default"/>
      </w:rPr>
    </w:lvl>
    <w:lvl w:ilvl="2" w:tplc="4E360130" w:tentative="1">
      <w:start w:val="1"/>
      <w:numFmt w:val="bullet"/>
      <w:lvlText w:val=""/>
      <w:lvlJc w:val="left"/>
      <w:pPr>
        <w:tabs>
          <w:tab w:val="num" w:pos="2160"/>
        </w:tabs>
        <w:ind w:left="2160" w:hanging="360"/>
      </w:pPr>
      <w:rPr>
        <w:rFonts w:ascii="Wingdings" w:hAnsi="Wingdings" w:hint="default"/>
      </w:rPr>
    </w:lvl>
    <w:lvl w:ilvl="3" w:tplc="E54C263A" w:tentative="1">
      <w:start w:val="1"/>
      <w:numFmt w:val="bullet"/>
      <w:lvlText w:val=""/>
      <w:lvlJc w:val="left"/>
      <w:pPr>
        <w:tabs>
          <w:tab w:val="num" w:pos="2880"/>
        </w:tabs>
        <w:ind w:left="2880" w:hanging="360"/>
      </w:pPr>
      <w:rPr>
        <w:rFonts w:ascii="Wingdings" w:hAnsi="Wingdings" w:hint="default"/>
      </w:rPr>
    </w:lvl>
    <w:lvl w:ilvl="4" w:tplc="EB50DF52" w:tentative="1">
      <w:start w:val="1"/>
      <w:numFmt w:val="bullet"/>
      <w:lvlText w:val=""/>
      <w:lvlJc w:val="left"/>
      <w:pPr>
        <w:tabs>
          <w:tab w:val="num" w:pos="3600"/>
        </w:tabs>
        <w:ind w:left="3600" w:hanging="360"/>
      </w:pPr>
      <w:rPr>
        <w:rFonts w:ascii="Wingdings" w:hAnsi="Wingdings" w:hint="default"/>
      </w:rPr>
    </w:lvl>
    <w:lvl w:ilvl="5" w:tplc="F46449DE" w:tentative="1">
      <w:start w:val="1"/>
      <w:numFmt w:val="bullet"/>
      <w:lvlText w:val=""/>
      <w:lvlJc w:val="left"/>
      <w:pPr>
        <w:tabs>
          <w:tab w:val="num" w:pos="4320"/>
        </w:tabs>
        <w:ind w:left="4320" w:hanging="360"/>
      </w:pPr>
      <w:rPr>
        <w:rFonts w:ascii="Wingdings" w:hAnsi="Wingdings" w:hint="default"/>
      </w:rPr>
    </w:lvl>
    <w:lvl w:ilvl="6" w:tplc="6020390E" w:tentative="1">
      <w:start w:val="1"/>
      <w:numFmt w:val="bullet"/>
      <w:lvlText w:val=""/>
      <w:lvlJc w:val="left"/>
      <w:pPr>
        <w:tabs>
          <w:tab w:val="num" w:pos="5040"/>
        </w:tabs>
        <w:ind w:left="5040" w:hanging="360"/>
      </w:pPr>
      <w:rPr>
        <w:rFonts w:ascii="Wingdings" w:hAnsi="Wingdings" w:hint="default"/>
      </w:rPr>
    </w:lvl>
    <w:lvl w:ilvl="7" w:tplc="18E80678" w:tentative="1">
      <w:start w:val="1"/>
      <w:numFmt w:val="bullet"/>
      <w:lvlText w:val=""/>
      <w:lvlJc w:val="left"/>
      <w:pPr>
        <w:tabs>
          <w:tab w:val="num" w:pos="5760"/>
        </w:tabs>
        <w:ind w:left="5760" w:hanging="360"/>
      </w:pPr>
      <w:rPr>
        <w:rFonts w:ascii="Wingdings" w:hAnsi="Wingdings" w:hint="default"/>
      </w:rPr>
    </w:lvl>
    <w:lvl w:ilvl="8" w:tplc="9026ABC2" w:tentative="1">
      <w:start w:val="1"/>
      <w:numFmt w:val="bullet"/>
      <w:lvlText w:val=""/>
      <w:lvlJc w:val="left"/>
      <w:pPr>
        <w:tabs>
          <w:tab w:val="num" w:pos="6480"/>
        </w:tabs>
        <w:ind w:left="6480" w:hanging="360"/>
      </w:pPr>
      <w:rPr>
        <w:rFonts w:ascii="Wingdings" w:hAnsi="Wingdings" w:hint="default"/>
      </w:rPr>
    </w:lvl>
  </w:abstractNum>
  <w:abstractNum w:abstractNumId="14">
    <w:nsid w:val="459064F7"/>
    <w:multiLevelType w:val="hybridMultilevel"/>
    <w:tmpl w:val="C3F056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46B37E35"/>
    <w:multiLevelType w:val="hybridMultilevel"/>
    <w:tmpl w:val="F0C8D212"/>
    <w:lvl w:ilvl="0" w:tplc="480A3BD2">
      <w:numFmt w:val="bullet"/>
      <w:lvlText w:val="-"/>
      <w:lvlJc w:val="left"/>
      <w:pPr>
        <w:tabs>
          <w:tab w:val="num" w:pos="720"/>
        </w:tabs>
        <w:ind w:left="720" w:hanging="360"/>
      </w:pPr>
      <w:rPr>
        <w:rFonts w:ascii="Calibri" w:eastAsiaTheme="minorHAnsi" w:hAnsi="Calibri" w:cstheme="majorBidi" w:hint="default"/>
      </w:rPr>
    </w:lvl>
    <w:lvl w:ilvl="1" w:tplc="B344EC22" w:tentative="1">
      <w:start w:val="1"/>
      <w:numFmt w:val="bullet"/>
      <w:lvlText w:val=""/>
      <w:lvlJc w:val="left"/>
      <w:pPr>
        <w:tabs>
          <w:tab w:val="num" w:pos="1440"/>
        </w:tabs>
        <w:ind w:left="1440" w:hanging="360"/>
      </w:pPr>
      <w:rPr>
        <w:rFonts w:ascii="Wingdings" w:hAnsi="Wingdings" w:hint="default"/>
      </w:rPr>
    </w:lvl>
    <w:lvl w:ilvl="2" w:tplc="911AF7B0" w:tentative="1">
      <w:start w:val="1"/>
      <w:numFmt w:val="bullet"/>
      <w:lvlText w:val=""/>
      <w:lvlJc w:val="left"/>
      <w:pPr>
        <w:tabs>
          <w:tab w:val="num" w:pos="2160"/>
        </w:tabs>
        <w:ind w:left="2160" w:hanging="360"/>
      </w:pPr>
      <w:rPr>
        <w:rFonts w:ascii="Wingdings" w:hAnsi="Wingdings" w:hint="default"/>
      </w:rPr>
    </w:lvl>
    <w:lvl w:ilvl="3" w:tplc="C5E6A48C" w:tentative="1">
      <w:start w:val="1"/>
      <w:numFmt w:val="bullet"/>
      <w:lvlText w:val=""/>
      <w:lvlJc w:val="left"/>
      <w:pPr>
        <w:tabs>
          <w:tab w:val="num" w:pos="2880"/>
        </w:tabs>
        <w:ind w:left="2880" w:hanging="360"/>
      </w:pPr>
      <w:rPr>
        <w:rFonts w:ascii="Wingdings" w:hAnsi="Wingdings" w:hint="default"/>
      </w:rPr>
    </w:lvl>
    <w:lvl w:ilvl="4" w:tplc="38ACA75A" w:tentative="1">
      <w:start w:val="1"/>
      <w:numFmt w:val="bullet"/>
      <w:lvlText w:val=""/>
      <w:lvlJc w:val="left"/>
      <w:pPr>
        <w:tabs>
          <w:tab w:val="num" w:pos="3600"/>
        </w:tabs>
        <w:ind w:left="3600" w:hanging="360"/>
      </w:pPr>
      <w:rPr>
        <w:rFonts w:ascii="Wingdings" w:hAnsi="Wingdings" w:hint="default"/>
      </w:rPr>
    </w:lvl>
    <w:lvl w:ilvl="5" w:tplc="B6BAB39E" w:tentative="1">
      <w:start w:val="1"/>
      <w:numFmt w:val="bullet"/>
      <w:lvlText w:val=""/>
      <w:lvlJc w:val="left"/>
      <w:pPr>
        <w:tabs>
          <w:tab w:val="num" w:pos="4320"/>
        </w:tabs>
        <w:ind w:left="4320" w:hanging="360"/>
      </w:pPr>
      <w:rPr>
        <w:rFonts w:ascii="Wingdings" w:hAnsi="Wingdings" w:hint="default"/>
      </w:rPr>
    </w:lvl>
    <w:lvl w:ilvl="6" w:tplc="659EF1EE" w:tentative="1">
      <w:start w:val="1"/>
      <w:numFmt w:val="bullet"/>
      <w:lvlText w:val=""/>
      <w:lvlJc w:val="left"/>
      <w:pPr>
        <w:tabs>
          <w:tab w:val="num" w:pos="5040"/>
        </w:tabs>
        <w:ind w:left="5040" w:hanging="360"/>
      </w:pPr>
      <w:rPr>
        <w:rFonts w:ascii="Wingdings" w:hAnsi="Wingdings" w:hint="default"/>
      </w:rPr>
    </w:lvl>
    <w:lvl w:ilvl="7" w:tplc="C7C438F6" w:tentative="1">
      <w:start w:val="1"/>
      <w:numFmt w:val="bullet"/>
      <w:lvlText w:val=""/>
      <w:lvlJc w:val="left"/>
      <w:pPr>
        <w:tabs>
          <w:tab w:val="num" w:pos="5760"/>
        </w:tabs>
        <w:ind w:left="5760" w:hanging="360"/>
      </w:pPr>
      <w:rPr>
        <w:rFonts w:ascii="Wingdings" w:hAnsi="Wingdings" w:hint="default"/>
      </w:rPr>
    </w:lvl>
    <w:lvl w:ilvl="8" w:tplc="9D72BF6E" w:tentative="1">
      <w:start w:val="1"/>
      <w:numFmt w:val="bullet"/>
      <w:lvlText w:val=""/>
      <w:lvlJc w:val="left"/>
      <w:pPr>
        <w:tabs>
          <w:tab w:val="num" w:pos="6480"/>
        </w:tabs>
        <w:ind w:left="6480" w:hanging="360"/>
      </w:pPr>
      <w:rPr>
        <w:rFonts w:ascii="Wingdings" w:hAnsi="Wingdings" w:hint="default"/>
      </w:rPr>
    </w:lvl>
  </w:abstractNum>
  <w:abstractNum w:abstractNumId="16">
    <w:nsid w:val="4D417900"/>
    <w:multiLevelType w:val="hybridMultilevel"/>
    <w:tmpl w:val="82B84EA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4E402ABD"/>
    <w:multiLevelType w:val="hybridMultilevel"/>
    <w:tmpl w:val="B53C42C6"/>
    <w:lvl w:ilvl="0" w:tplc="04070001">
      <w:start w:val="1"/>
      <w:numFmt w:val="bullet"/>
      <w:lvlText w:val=""/>
      <w:lvlJc w:val="left"/>
      <w:pPr>
        <w:tabs>
          <w:tab w:val="num" w:pos="720"/>
        </w:tabs>
        <w:ind w:left="720" w:hanging="360"/>
      </w:pPr>
      <w:rPr>
        <w:rFonts w:ascii="Symbol" w:hAnsi="Symbol" w:hint="default"/>
      </w:rPr>
    </w:lvl>
    <w:lvl w:ilvl="1" w:tplc="044E62EA">
      <w:start w:val="1"/>
      <w:numFmt w:val="bullet"/>
      <w:lvlText w:val=""/>
      <w:lvlJc w:val="left"/>
      <w:pPr>
        <w:tabs>
          <w:tab w:val="num" w:pos="1440"/>
        </w:tabs>
        <w:ind w:left="1440" w:hanging="360"/>
      </w:pPr>
      <w:rPr>
        <w:rFonts w:ascii="Wingdings" w:hAnsi="Wingdings" w:hint="default"/>
        <w:lang w:val="de-DE"/>
      </w:rPr>
    </w:lvl>
    <w:lvl w:ilvl="2" w:tplc="B8C8492C" w:tentative="1">
      <w:start w:val="1"/>
      <w:numFmt w:val="bullet"/>
      <w:lvlText w:val=""/>
      <w:lvlJc w:val="left"/>
      <w:pPr>
        <w:tabs>
          <w:tab w:val="num" w:pos="2160"/>
        </w:tabs>
        <w:ind w:left="2160" w:hanging="360"/>
      </w:pPr>
      <w:rPr>
        <w:rFonts w:ascii="Wingdings" w:hAnsi="Wingdings" w:hint="default"/>
      </w:rPr>
    </w:lvl>
    <w:lvl w:ilvl="3" w:tplc="77207F26" w:tentative="1">
      <w:start w:val="1"/>
      <w:numFmt w:val="bullet"/>
      <w:lvlText w:val=""/>
      <w:lvlJc w:val="left"/>
      <w:pPr>
        <w:tabs>
          <w:tab w:val="num" w:pos="2880"/>
        </w:tabs>
        <w:ind w:left="2880" w:hanging="360"/>
      </w:pPr>
      <w:rPr>
        <w:rFonts w:ascii="Wingdings" w:hAnsi="Wingdings" w:hint="default"/>
      </w:rPr>
    </w:lvl>
    <w:lvl w:ilvl="4" w:tplc="7C3A4B80" w:tentative="1">
      <w:start w:val="1"/>
      <w:numFmt w:val="bullet"/>
      <w:lvlText w:val=""/>
      <w:lvlJc w:val="left"/>
      <w:pPr>
        <w:tabs>
          <w:tab w:val="num" w:pos="3600"/>
        </w:tabs>
        <w:ind w:left="3600" w:hanging="360"/>
      </w:pPr>
      <w:rPr>
        <w:rFonts w:ascii="Wingdings" w:hAnsi="Wingdings" w:hint="default"/>
      </w:rPr>
    </w:lvl>
    <w:lvl w:ilvl="5" w:tplc="FECA448C" w:tentative="1">
      <w:start w:val="1"/>
      <w:numFmt w:val="bullet"/>
      <w:lvlText w:val=""/>
      <w:lvlJc w:val="left"/>
      <w:pPr>
        <w:tabs>
          <w:tab w:val="num" w:pos="4320"/>
        </w:tabs>
        <w:ind w:left="4320" w:hanging="360"/>
      </w:pPr>
      <w:rPr>
        <w:rFonts w:ascii="Wingdings" w:hAnsi="Wingdings" w:hint="default"/>
      </w:rPr>
    </w:lvl>
    <w:lvl w:ilvl="6" w:tplc="1C5C7D90" w:tentative="1">
      <w:start w:val="1"/>
      <w:numFmt w:val="bullet"/>
      <w:lvlText w:val=""/>
      <w:lvlJc w:val="left"/>
      <w:pPr>
        <w:tabs>
          <w:tab w:val="num" w:pos="5040"/>
        </w:tabs>
        <w:ind w:left="5040" w:hanging="360"/>
      </w:pPr>
      <w:rPr>
        <w:rFonts w:ascii="Wingdings" w:hAnsi="Wingdings" w:hint="default"/>
      </w:rPr>
    </w:lvl>
    <w:lvl w:ilvl="7" w:tplc="921E0664" w:tentative="1">
      <w:start w:val="1"/>
      <w:numFmt w:val="bullet"/>
      <w:lvlText w:val=""/>
      <w:lvlJc w:val="left"/>
      <w:pPr>
        <w:tabs>
          <w:tab w:val="num" w:pos="5760"/>
        </w:tabs>
        <w:ind w:left="5760" w:hanging="360"/>
      </w:pPr>
      <w:rPr>
        <w:rFonts w:ascii="Wingdings" w:hAnsi="Wingdings" w:hint="default"/>
      </w:rPr>
    </w:lvl>
    <w:lvl w:ilvl="8" w:tplc="9952666C" w:tentative="1">
      <w:start w:val="1"/>
      <w:numFmt w:val="bullet"/>
      <w:lvlText w:val=""/>
      <w:lvlJc w:val="left"/>
      <w:pPr>
        <w:tabs>
          <w:tab w:val="num" w:pos="6480"/>
        </w:tabs>
        <w:ind w:left="6480" w:hanging="360"/>
      </w:pPr>
      <w:rPr>
        <w:rFonts w:ascii="Wingdings" w:hAnsi="Wingdings" w:hint="default"/>
      </w:rPr>
    </w:lvl>
  </w:abstractNum>
  <w:abstractNum w:abstractNumId="18">
    <w:nsid w:val="64846786"/>
    <w:multiLevelType w:val="hybridMultilevel"/>
    <w:tmpl w:val="AFF867BC"/>
    <w:lvl w:ilvl="0" w:tplc="0854BB6E">
      <w:start w:val="1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65D27549"/>
    <w:multiLevelType w:val="hybridMultilevel"/>
    <w:tmpl w:val="6568B0BA"/>
    <w:lvl w:ilvl="0" w:tplc="71867CBC">
      <w:start w:val="1"/>
      <w:numFmt w:val="bullet"/>
      <w:lvlText w:val=""/>
      <w:lvlJc w:val="left"/>
      <w:pPr>
        <w:tabs>
          <w:tab w:val="num" w:pos="1068"/>
        </w:tabs>
        <w:ind w:left="1068" w:hanging="360"/>
      </w:pPr>
      <w:rPr>
        <w:rFonts w:ascii="Wingdings" w:hAnsi="Wingdings" w:hint="default"/>
      </w:rPr>
    </w:lvl>
    <w:lvl w:ilvl="1" w:tplc="BE44E82E">
      <w:start w:val="1"/>
      <w:numFmt w:val="bullet"/>
      <w:lvlText w:val=""/>
      <w:lvlJc w:val="left"/>
      <w:pPr>
        <w:tabs>
          <w:tab w:val="num" w:pos="1788"/>
        </w:tabs>
        <w:ind w:left="1788" w:hanging="360"/>
      </w:pPr>
      <w:rPr>
        <w:rFonts w:ascii="Wingdings" w:hAnsi="Wingdings" w:hint="default"/>
      </w:rPr>
    </w:lvl>
    <w:lvl w:ilvl="2" w:tplc="CB527FA0" w:tentative="1">
      <w:start w:val="1"/>
      <w:numFmt w:val="bullet"/>
      <w:lvlText w:val=""/>
      <w:lvlJc w:val="left"/>
      <w:pPr>
        <w:tabs>
          <w:tab w:val="num" w:pos="2508"/>
        </w:tabs>
        <w:ind w:left="2508" w:hanging="360"/>
      </w:pPr>
      <w:rPr>
        <w:rFonts w:ascii="Wingdings" w:hAnsi="Wingdings" w:hint="default"/>
      </w:rPr>
    </w:lvl>
    <w:lvl w:ilvl="3" w:tplc="848A1DC4" w:tentative="1">
      <w:start w:val="1"/>
      <w:numFmt w:val="bullet"/>
      <w:lvlText w:val=""/>
      <w:lvlJc w:val="left"/>
      <w:pPr>
        <w:tabs>
          <w:tab w:val="num" w:pos="3228"/>
        </w:tabs>
        <w:ind w:left="3228" w:hanging="360"/>
      </w:pPr>
      <w:rPr>
        <w:rFonts w:ascii="Wingdings" w:hAnsi="Wingdings" w:hint="default"/>
      </w:rPr>
    </w:lvl>
    <w:lvl w:ilvl="4" w:tplc="2CFADCA8" w:tentative="1">
      <w:start w:val="1"/>
      <w:numFmt w:val="bullet"/>
      <w:lvlText w:val=""/>
      <w:lvlJc w:val="left"/>
      <w:pPr>
        <w:tabs>
          <w:tab w:val="num" w:pos="3948"/>
        </w:tabs>
        <w:ind w:left="3948" w:hanging="360"/>
      </w:pPr>
      <w:rPr>
        <w:rFonts w:ascii="Wingdings" w:hAnsi="Wingdings" w:hint="default"/>
      </w:rPr>
    </w:lvl>
    <w:lvl w:ilvl="5" w:tplc="BAE697B0" w:tentative="1">
      <w:start w:val="1"/>
      <w:numFmt w:val="bullet"/>
      <w:lvlText w:val=""/>
      <w:lvlJc w:val="left"/>
      <w:pPr>
        <w:tabs>
          <w:tab w:val="num" w:pos="4668"/>
        </w:tabs>
        <w:ind w:left="4668" w:hanging="360"/>
      </w:pPr>
      <w:rPr>
        <w:rFonts w:ascii="Wingdings" w:hAnsi="Wingdings" w:hint="default"/>
      </w:rPr>
    </w:lvl>
    <w:lvl w:ilvl="6" w:tplc="DACC7E0A" w:tentative="1">
      <w:start w:val="1"/>
      <w:numFmt w:val="bullet"/>
      <w:lvlText w:val=""/>
      <w:lvlJc w:val="left"/>
      <w:pPr>
        <w:tabs>
          <w:tab w:val="num" w:pos="5388"/>
        </w:tabs>
        <w:ind w:left="5388" w:hanging="360"/>
      </w:pPr>
      <w:rPr>
        <w:rFonts w:ascii="Wingdings" w:hAnsi="Wingdings" w:hint="default"/>
      </w:rPr>
    </w:lvl>
    <w:lvl w:ilvl="7" w:tplc="ECC85440" w:tentative="1">
      <w:start w:val="1"/>
      <w:numFmt w:val="bullet"/>
      <w:lvlText w:val=""/>
      <w:lvlJc w:val="left"/>
      <w:pPr>
        <w:tabs>
          <w:tab w:val="num" w:pos="6108"/>
        </w:tabs>
        <w:ind w:left="6108" w:hanging="360"/>
      </w:pPr>
      <w:rPr>
        <w:rFonts w:ascii="Wingdings" w:hAnsi="Wingdings" w:hint="default"/>
      </w:rPr>
    </w:lvl>
    <w:lvl w:ilvl="8" w:tplc="6B3E9C46" w:tentative="1">
      <w:start w:val="1"/>
      <w:numFmt w:val="bullet"/>
      <w:lvlText w:val=""/>
      <w:lvlJc w:val="left"/>
      <w:pPr>
        <w:tabs>
          <w:tab w:val="num" w:pos="6828"/>
        </w:tabs>
        <w:ind w:left="6828" w:hanging="360"/>
      </w:pPr>
      <w:rPr>
        <w:rFonts w:ascii="Wingdings" w:hAnsi="Wingdings" w:hint="default"/>
      </w:rPr>
    </w:lvl>
  </w:abstractNum>
  <w:abstractNum w:abstractNumId="20">
    <w:nsid w:val="675D292D"/>
    <w:multiLevelType w:val="hybridMultilevel"/>
    <w:tmpl w:val="CF9E62B2"/>
    <w:lvl w:ilvl="0" w:tplc="04070001">
      <w:start w:val="1"/>
      <w:numFmt w:val="bullet"/>
      <w:lvlText w:val=""/>
      <w:lvlJc w:val="left"/>
      <w:pPr>
        <w:tabs>
          <w:tab w:val="num" w:pos="720"/>
        </w:tabs>
        <w:ind w:left="720" w:hanging="360"/>
      </w:pPr>
      <w:rPr>
        <w:rFonts w:ascii="Symbol" w:hAnsi="Symbol" w:hint="default"/>
      </w:rPr>
    </w:lvl>
    <w:lvl w:ilvl="1" w:tplc="A11E7006">
      <w:start w:val="1"/>
      <w:numFmt w:val="bullet"/>
      <w:lvlText w:val=""/>
      <w:lvlJc w:val="left"/>
      <w:pPr>
        <w:tabs>
          <w:tab w:val="num" w:pos="1440"/>
        </w:tabs>
        <w:ind w:left="1440" w:hanging="360"/>
      </w:pPr>
      <w:rPr>
        <w:rFonts w:ascii="Wingdings" w:hAnsi="Wingdings" w:hint="default"/>
      </w:rPr>
    </w:lvl>
    <w:lvl w:ilvl="2" w:tplc="156E861C" w:tentative="1">
      <w:start w:val="1"/>
      <w:numFmt w:val="bullet"/>
      <w:lvlText w:val=""/>
      <w:lvlJc w:val="left"/>
      <w:pPr>
        <w:tabs>
          <w:tab w:val="num" w:pos="2160"/>
        </w:tabs>
        <w:ind w:left="2160" w:hanging="360"/>
      </w:pPr>
      <w:rPr>
        <w:rFonts w:ascii="Wingdings" w:hAnsi="Wingdings" w:hint="default"/>
      </w:rPr>
    </w:lvl>
    <w:lvl w:ilvl="3" w:tplc="87121D9A" w:tentative="1">
      <w:start w:val="1"/>
      <w:numFmt w:val="bullet"/>
      <w:lvlText w:val=""/>
      <w:lvlJc w:val="left"/>
      <w:pPr>
        <w:tabs>
          <w:tab w:val="num" w:pos="2880"/>
        </w:tabs>
        <w:ind w:left="2880" w:hanging="360"/>
      </w:pPr>
      <w:rPr>
        <w:rFonts w:ascii="Wingdings" w:hAnsi="Wingdings" w:hint="default"/>
      </w:rPr>
    </w:lvl>
    <w:lvl w:ilvl="4" w:tplc="1FA67B72" w:tentative="1">
      <w:start w:val="1"/>
      <w:numFmt w:val="bullet"/>
      <w:lvlText w:val=""/>
      <w:lvlJc w:val="left"/>
      <w:pPr>
        <w:tabs>
          <w:tab w:val="num" w:pos="3600"/>
        </w:tabs>
        <w:ind w:left="3600" w:hanging="360"/>
      </w:pPr>
      <w:rPr>
        <w:rFonts w:ascii="Wingdings" w:hAnsi="Wingdings" w:hint="default"/>
      </w:rPr>
    </w:lvl>
    <w:lvl w:ilvl="5" w:tplc="6AC0A828" w:tentative="1">
      <w:start w:val="1"/>
      <w:numFmt w:val="bullet"/>
      <w:lvlText w:val=""/>
      <w:lvlJc w:val="left"/>
      <w:pPr>
        <w:tabs>
          <w:tab w:val="num" w:pos="4320"/>
        </w:tabs>
        <w:ind w:left="4320" w:hanging="360"/>
      </w:pPr>
      <w:rPr>
        <w:rFonts w:ascii="Wingdings" w:hAnsi="Wingdings" w:hint="default"/>
      </w:rPr>
    </w:lvl>
    <w:lvl w:ilvl="6" w:tplc="771E5BFA" w:tentative="1">
      <w:start w:val="1"/>
      <w:numFmt w:val="bullet"/>
      <w:lvlText w:val=""/>
      <w:lvlJc w:val="left"/>
      <w:pPr>
        <w:tabs>
          <w:tab w:val="num" w:pos="5040"/>
        </w:tabs>
        <w:ind w:left="5040" w:hanging="360"/>
      </w:pPr>
      <w:rPr>
        <w:rFonts w:ascii="Wingdings" w:hAnsi="Wingdings" w:hint="default"/>
      </w:rPr>
    </w:lvl>
    <w:lvl w:ilvl="7" w:tplc="FFA617FE" w:tentative="1">
      <w:start w:val="1"/>
      <w:numFmt w:val="bullet"/>
      <w:lvlText w:val=""/>
      <w:lvlJc w:val="left"/>
      <w:pPr>
        <w:tabs>
          <w:tab w:val="num" w:pos="5760"/>
        </w:tabs>
        <w:ind w:left="5760" w:hanging="360"/>
      </w:pPr>
      <w:rPr>
        <w:rFonts w:ascii="Wingdings" w:hAnsi="Wingdings" w:hint="default"/>
      </w:rPr>
    </w:lvl>
    <w:lvl w:ilvl="8" w:tplc="F45AA332" w:tentative="1">
      <w:start w:val="1"/>
      <w:numFmt w:val="bullet"/>
      <w:lvlText w:val=""/>
      <w:lvlJc w:val="left"/>
      <w:pPr>
        <w:tabs>
          <w:tab w:val="num" w:pos="6480"/>
        </w:tabs>
        <w:ind w:left="6480" w:hanging="360"/>
      </w:pPr>
      <w:rPr>
        <w:rFonts w:ascii="Wingdings" w:hAnsi="Wingdings" w:hint="default"/>
      </w:rPr>
    </w:lvl>
  </w:abstractNum>
  <w:abstractNum w:abstractNumId="21">
    <w:nsid w:val="6FEF6FE0"/>
    <w:multiLevelType w:val="hybridMultilevel"/>
    <w:tmpl w:val="1716FFF0"/>
    <w:lvl w:ilvl="0" w:tplc="915CE7E6">
      <w:start w:val="8"/>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74A76C09"/>
    <w:multiLevelType w:val="hybridMultilevel"/>
    <w:tmpl w:val="98C67CEA"/>
    <w:lvl w:ilvl="0" w:tplc="04070001">
      <w:start w:val="1"/>
      <w:numFmt w:val="bullet"/>
      <w:lvlText w:val=""/>
      <w:lvlJc w:val="left"/>
      <w:pPr>
        <w:tabs>
          <w:tab w:val="num" w:pos="720"/>
        </w:tabs>
        <w:ind w:left="720" w:hanging="360"/>
      </w:pPr>
      <w:rPr>
        <w:rFonts w:ascii="Symbol" w:hAnsi="Symbol" w:hint="default"/>
      </w:rPr>
    </w:lvl>
    <w:lvl w:ilvl="1" w:tplc="B344EC22">
      <w:start w:val="1"/>
      <w:numFmt w:val="bullet"/>
      <w:lvlText w:val=""/>
      <w:lvlJc w:val="left"/>
      <w:pPr>
        <w:tabs>
          <w:tab w:val="num" w:pos="1440"/>
        </w:tabs>
        <w:ind w:left="1440" w:hanging="360"/>
      </w:pPr>
      <w:rPr>
        <w:rFonts w:ascii="Wingdings" w:hAnsi="Wingdings" w:hint="default"/>
      </w:rPr>
    </w:lvl>
    <w:lvl w:ilvl="2" w:tplc="911AF7B0" w:tentative="1">
      <w:start w:val="1"/>
      <w:numFmt w:val="bullet"/>
      <w:lvlText w:val=""/>
      <w:lvlJc w:val="left"/>
      <w:pPr>
        <w:tabs>
          <w:tab w:val="num" w:pos="2160"/>
        </w:tabs>
        <w:ind w:left="2160" w:hanging="360"/>
      </w:pPr>
      <w:rPr>
        <w:rFonts w:ascii="Wingdings" w:hAnsi="Wingdings" w:hint="default"/>
      </w:rPr>
    </w:lvl>
    <w:lvl w:ilvl="3" w:tplc="C5E6A48C" w:tentative="1">
      <w:start w:val="1"/>
      <w:numFmt w:val="bullet"/>
      <w:lvlText w:val=""/>
      <w:lvlJc w:val="left"/>
      <w:pPr>
        <w:tabs>
          <w:tab w:val="num" w:pos="2880"/>
        </w:tabs>
        <w:ind w:left="2880" w:hanging="360"/>
      </w:pPr>
      <w:rPr>
        <w:rFonts w:ascii="Wingdings" w:hAnsi="Wingdings" w:hint="default"/>
      </w:rPr>
    </w:lvl>
    <w:lvl w:ilvl="4" w:tplc="38ACA75A" w:tentative="1">
      <w:start w:val="1"/>
      <w:numFmt w:val="bullet"/>
      <w:lvlText w:val=""/>
      <w:lvlJc w:val="left"/>
      <w:pPr>
        <w:tabs>
          <w:tab w:val="num" w:pos="3600"/>
        </w:tabs>
        <w:ind w:left="3600" w:hanging="360"/>
      </w:pPr>
      <w:rPr>
        <w:rFonts w:ascii="Wingdings" w:hAnsi="Wingdings" w:hint="default"/>
      </w:rPr>
    </w:lvl>
    <w:lvl w:ilvl="5" w:tplc="B6BAB39E" w:tentative="1">
      <w:start w:val="1"/>
      <w:numFmt w:val="bullet"/>
      <w:lvlText w:val=""/>
      <w:lvlJc w:val="left"/>
      <w:pPr>
        <w:tabs>
          <w:tab w:val="num" w:pos="4320"/>
        </w:tabs>
        <w:ind w:left="4320" w:hanging="360"/>
      </w:pPr>
      <w:rPr>
        <w:rFonts w:ascii="Wingdings" w:hAnsi="Wingdings" w:hint="default"/>
      </w:rPr>
    </w:lvl>
    <w:lvl w:ilvl="6" w:tplc="659EF1EE" w:tentative="1">
      <w:start w:val="1"/>
      <w:numFmt w:val="bullet"/>
      <w:lvlText w:val=""/>
      <w:lvlJc w:val="left"/>
      <w:pPr>
        <w:tabs>
          <w:tab w:val="num" w:pos="5040"/>
        </w:tabs>
        <w:ind w:left="5040" w:hanging="360"/>
      </w:pPr>
      <w:rPr>
        <w:rFonts w:ascii="Wingdings" w:hAnsi="Wingdings" w:hint="default"/>
      </w:rPr>
    </w:lvl>
    <w:lvl w:ilvl="7" w:tplc="C7C438F6" w:tentative="1">
      <w:start w:val="1"/>
      <w:numFmt w:val="bullet"/>
      <w:lvlText w:val=""/>
      <w:lvlJc w:val="left"/>
      <w:pPr>
        <w:tabs>
          <w:tab w:val="num" w:pos="5760"/>
        </w:tabs>
        <w:ind w:left="5760" w:hanging="360"/>
      </w:pPr>
      <w:rPr>
        <w:rFonts w:ascii="Wingdings" w:hAnsi="Wingdings" w:hint="default"/>
      </w:rPr>
    </w:lvl>
    <w:lvl w:ilvl="8" w:tplc="9D72BF6E" w:tentative="1">
      <w:start w:val="1"/>
      <w:numFmt w:val="bullet"/>
      <w:lvlText w:val=""/>
      <w:lvlJc w:val="left"/>
      <w:pPr>
        <w:tabs>
          <w:tab w:val="num" w:pos="6480"/>
        </w:tabs>
        <w:ind w:left="6480" w:hanging="360"/>
      </w:pPr>
      <w:rPr>
        <w:rFonts w:ascii="Wingdings" w:hAnsi="Wingdings" w:hint="default"/>
      </w:rPr>
    </w:lvl>
  </w:abstractNum>
  <w:abstractNum w:abstractNumId="23">
    <w:nsid w:val="7FED6D29"/>
    <w:multiLevelType w:val="hybridMultilevel"/>
    <w:tmpl w:val="021662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9"/>
  </w:num>
  <w:num w:numId="2">
    <w:abstractNumId w:val="4"/>
  </w:num>
  <w:num w:numId="3">
    <w:abstractNumId w:val="17"/>
  </w:num>
  <w:num w:numId="4">
    <w:abstractNumId w:val="13"/>
  </w:num>
  <w:num w:numId="5">
    <w:abstractNumId w:val="22"/>
  </w:num>
  <w:num w:numId="6">
    <w:abstractNumId w:val="16"/>
  </w:num>
  <w:num w:numId="7">
    <w:abstractNumId w:val="20"/>
  </w:num>
  <w:num w:numId="8">
    <w:abstractNumId w:val="10"/>
  </w:num>
  <w:num w:numId="9">
    <w:abstractNumId w:val="6"/>
  </w:num>
  <w:num w:numId="10">
    <w:abstractNumId w:val="11"/>
  </w:num>
  <w:num w:numId="11">
    <w:abstractNumId w:val="21"/>
  </w:num>
  <w:num w:numId="12">
    <w:abstractNumId w:val="15"/>
  </w:num>
  <w:num w:numId="13">
    <w:abstractNumId w:val="0"/>
  </w:num>
  <w:num w:numId="14">
    <w:abstractNumId w:val="3"/>
  </w:num>
  <w:num w:numId="15">
    <w:abstractNumId w:val="12"/>
  </w:num>
  <w:num w:numId="16">
    <w:abstractNumId w:val="7"/>
  </w:num>
  <w:num w:numId="17">
    <w:abstractNumId w:val="8"/>
  </w:num>
  <w:num w:numId="18">
    <w:abstractNumId w:val="2"/>
  </w:num>
  <w:num w:numId="19">
    <w:abstractNumId w:val="5"/>
  </w:num>
  <w:num w:numId="20">
    <w:abstractNumId w:val="1"/>
  </w:num>
  <w:num w:numId="21">
    <w:abstractNumId w:val="23"/>
  </w:num>
  <w:num w:numId="22">
    <w:abstractNumId w:val="9"/>
  </w:num>
  <w:num w:numId="23">
    <w:abstractNumId w:val="18"/>
  </w:num>
  <w:num w:numId="24">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hideSpellingErrors/>
  <w:hideGrammaticalErrors/>
  <w:activeWritingStyle w:appName="MSWord" w:lang="de-DE" w:vendorID="64" w:dllVersion="131078" w:nlCheck="1" w:checkStyle="1"/>
  <w:activeWritingStyle w:appName="MSWord" w:lang="en-US" w:vendorID="64" w:dllVersion="131078" w:nlCheck="1" w:checkStyle="1"/>
  <w:activeWritingStyle w:appName="MSWord" w:lang="fr-MA" w:vendorID="64" w:dllVersion="131078" w:nlCheck="1" w:checkStyle="1"/>
  <w:activeWritingStyle w:appName="MSWord" w:lang="fr-FR" w:vendorID="64" w:dllVersion="131078" w:nlCheck="1" w:checkStyle="1"/>
  <w:activeWritingStyle w:appName="MSWord" w:lang="en-GB" w:vendorID="64" w:dllVersion="131078" w:nlCheck="1" w:checkStyle="1"/>
  <w:formsDesig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142"/>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D2014"/>
    <w:rsid w:val="00003478"/>
    <w:rsid w:val="00005628"/>
    <w:rsid w:val="00007741"/>
    <w:rsid w:val="000230BC"/>
    <w:rsid w:val="00033BAF"/>
    <w:rsid w:val="0003767F"/>
    <w:rsid w:val="00046602"/>
    <w:rsid w:val="00047701"/>
    <w:rsid w:val="00061E6A"/>
    <w:rsid w:val="0007500C"/>
    <w:rsid w:val="00075BC1"/>
    <w:rsid w:val="000770E1"/>
    <w:rsid w:val="00077363"/>
    <w:rsid w:val="00080677"/>
    <w:rsid w:val="00080A51"/>
    <w:rsid w:val="000B0184"/>
    <w:rsid w:val="000B036E"/>
    <w:rsid w:val="000B52AB"/>
    <w:rsid w:val="000B56FC"/>
    <w:rsid w:val="000C26D7"/>
    <w:rsid w:val="000C53AA"/>
    <w:rsid w:val="000C5AD2"/>
    <w:rsid w:val="000E5A31"/>
    <w:rsid w:val="000F406D"/>
    <w:rsid w:val="00106099"/>
    <w:rsid w:val="00115CCE"/>
    <w:rsid w:val="00122660"/>
    <w:rsid w:val="0012369A"/>
    <w:rsid w:val="0012743D"/>
    <w:rsid w:val="00136446"/>
    <w:rsid w:val="00142342"/>
    <w:rsid w:val="0014383B"/>
    <w:rsid w:val="001462ED"/>
    <w:rsid w:val="00146578"/>
    <w:rsid w:val="00152F16"/>
    <w:rsid w:val="0015741E"/>
    <w:rsid w:val="0016789E"/>
    <w:rsid w:val="0017014C"/>
    <w:rsid w:val="001729E4"/>
    <w:rsid w:val="001A3684"/>
    <w:rsid w:val="001A3C3D"/>
    <w:rsid w:val="001A3D0C"/>
    <w:rsid w:val="001A4FBB"/>
    <w:rsid w:val="001E725F"/>
    <w:rsid w:val="001E7697"/>
    <w:rsid w:val="001F4F4A"/>
    <w:rsid w:val="002001FA"/>
    <w:rsid w:val="00204707"/>
    <w:rsid w:val="00205282"/>
    <w:rsid w:val="00206481"/>
    <w:rsid w:val="00211304"/>
    <w:rsid w:val="00215BE4"/>
    <w:rsid w:val="00221311"/>
    <w:rsid w:val="00222CB2"/>
    <w:rsid w:val="00230A4C"/>
    <w:rsid w:val="00235E0D"/>
    <w:rsid w:val="00235EAE"/>
    <w:rsid w:val="00243558"/>
    <w:rsid w:val="00257818"/>
    <w:rsid w:val="00267E74"/>
    <w:rsid w:val="00270D3A"/>
    <w:rsid w:val="00272AEF"/>
    <w:rsid w:val="00280A53"/>
    <w:rsid w:val="002845AE"/>
    <w:rsid w:val="002923E8"/>
    <w:rsid w:val="002B1456"/>
    <w:rsid w:val="002D1081"/>
    <w:rsid w:val="002E6923"/>
    <w:rsid w:val="002F4D57"/>
    <w:rsid w:val="003139E2"/>
    <w:rsid w:val="00321F4B"/>
    <w:rsid w:val="0032635D"/>
    <w:rsid w:val="00336697"/>
    <w:rsid w:val="0034383F"/>
    <w:rsid w:val="00345DB6"/>
    <w:rsid w:val="00350CD7"/>
    <w:rsid w:val="00351E8C"/>
    <w:rsid w:val="0036756B"/>
    <w:rsid w:val="003B033B"/>
    <w:rsid w:val="003B7068"/>
    <w:rsid w:val="003B7B92"/>
    <w:rsid w:val="003C294A"/>
    <w:rsid w:val="003D4172"/>
    <w:rsid w:val="003E5100"/>
    <w:rsid w:val="00401827"/>
    <w:rsid w:val="00401F14"/>
    <w:rsid w:val="00412C55"/>
    <w:rsid w:val="00415D96"/>
    <w:rsid w:val="00430473"/>
    <w:rsid w:val="00430D65"/>
    <w:rsid w:val="00436355"/>
    <w:rsid w:val="00446BC5"/>
    <w:rsid w:val="00450DA5"/>
    <w:rsid w:val="00466C3B"/>
    <w:rsid w:val="00467A69"/>
    <w:rsid w:val="004712B5"/>
    <w:rsid w:val="004733A8"/>
    <w:rsid w:val="00486604"/>
    <w:rsid w:val="00491490"/>
    <w:rsid w:val="00491C65"/>
    <w:rsid w:val="00493E4B"/>
    <w:rsid w:val="00497322"/>
    <w:rsid w:val="004A1F27"/>
    <w:rsid w:val="004A4D46"/>
    <w:rsid w:val="004B50F8"/>
    <w:rsid w:val="004C13A2"/>
    <w:rsid w:val="004C41B2"/>
    <w:rsid w:val="004C7645"/>
    <w:rsid w:val="004D1AE6"/>
    <w:rsid w:val="004D2014"/>
    <w:rsid w:val="004D27E9"/>
    <w:rsid w:val="004D5FC4"/>
    <w:rsid w:val="004E1CD9"/>
    <w:rsid w:val="004E220B"/>
    <w:rsid w:val="004E2737"/>
    <w:rsid w:val="005041F1"/>
    <w:rsid w:val="00512114"/>
    <w:rsid w:val="00525BFF"/>
    <w:rsid w:val="005276C2"/>
    <w:rsid w:val="00527837"/>
    <w:rsid w:val="00532B24"/>
    <w:rsid w:val="00535BC6"/>
    <w:rsid w:val="0053618D"/>
    <w:rsid w:val="005367FD"/>
    <w:rsid w:val="00537B61"/>
    <w:rsid w:val="005435C5"/>
    <w:rsid w:val="00543A29"/>
    <w:rsid w:val="0055032A"/>
    <w:rsid w:val="00554335"/>
    <w:rsid w:val="005547B3"/>
    <w:rsid w:val="00561F7F"/>
    <w:rsid w:val="00563147"/>
    <w:rsid w:val="00576B02"/>
    <w:rsid w:val="00580B60"/>
    <w:rsid w:val="00581C1B"/>
    <w:rsid w:val="005838C4"/>
    <w:rsid w:val="00584E4E"/>
    <w:rsid w:val="0058654E"/>
    <w:rsid w:val="005915CF"/>
    <w:rsid w:val="00593809"/>
    <w:rsid w:val="005944E0"/>
    <w:rsid w:val="00594587"/>
    <w:rsid w:val="005B5DBB"/>
    <w:rsid w:val="005D2C4F"/>
    <w:rsid w:val="005D4204"/>
    <w:rsid w:val="005F0A1C"/>
    <w:rsid w:val="00604D85"/>
    <w:rsid w:val="00627030"/>
    <w:rsid w:val="00643B1B"/>
    <w:rsid w:val="00643D54"/>
    <w:rsid w:val="006477FC"/>
    <w:rsid w:val="00650272"/>
    <w:rsid w:val="0068541B"/>
    <w:rsid w:val="0068643D"/>
    <w:rsid w:val="00691A2D"/>
    <w:rsid w:val="00693CC7"/>
    <w:rsid w:val="00693F0C"/>
    <w:rsid w:val="006A40E5"/>
    <w:rsid w:val="006B02A4"/>
    <w:rsid w:val="006B0811"/>
    <w:rsid w:val="006B6807"/>
    <w:rsid w:val="006B6ED0"/>
    <w:rsid w:val="006C6FCB"/>
    <w:rsid w:val="006E1C12"/>
    <w:rsid w:val="006E4368"/>
    <w:rsid w:val="006F05D9"/>
    <w:rsid w:val="00701A32"/>
    <w:rsid w:val="00703C16"/>
    <w:rsid w:val="00714B11"/>
    <w:rsid w:val="00733065"/>
    <w:rsid w:val="0073308C"/>
    <w:rsid w:val="00737875"/>
    <w:rsid w:val="007417BD"/>
    <w:rsid w:val="0074206F"/>
    <w:rsid w:val="00754346"/>
    <w:rsid w:val="007657DC"/>
    <w:rsid w:val="00772C92"/>
    <w:rsid w:val="007948B7"/>
    <w:rsid w:val="007A0473"/>
    <w:rsid w:val="007A16D7"/>
    <w:rsid w:val="007A257A"/>
    <w:rsid w:val="007A3BED"/>
    <w:rsid w:val="007A6B97"/>
    <w:rsid w:val="007B03D4"/>
    <w:rsid w:val="007B69E9"/>
    <w:rsid w:val="007D0A3F"/>
    <w:rsid w:val="007D1F56"/>
    <w:rsid w:val="007D2A52"/>
    <w:rsid w:val="007D4EA4"/>
    <w:rsid w:val="007D5F43"/>
    <w:rsid w:val="007E160E"/>
    <w:rsid w:val="007E2C7B"/>
    <w:rsid w:val="007E3BF3"/>
    <w:rsid w:val="007E6914"/>
    <w:rsid w:val="007E6FF5"/>
    <w:rsid w:val="007F49F8"/>
    <w:rsid w:val="00813243"/>
    <w:rsid w:val="008132C7"/>
    <w:rsid w:val="008244AC"/>
    <w:rsid w:val="00834730"/>
    <w:rsid w:val="00836D27"/>
    <w:rsid w:val="00836FF6"/>
    <w:rsid w:val="008374D1"/>
    <w:rsid w:val="008403B3"/>
    <w:rsid w:val="0084607C"/>
    <w:rsid w:val="008510DF"/>
    <w:rsid w:val="00862BBD"/>
    <w:rsid w:val="0086485D"/>
    <w:rsid w:val="00867CEF"/>
    <w:rsid w:val="00876E56"/>
    <w:rsid w:val="00885652"/>
    <w:rsid w:val="0088567D"/>
    <w:rsid w:val="008919E6"/>
    <w:rsid w:val="0089411E"/>
    <w:rsid w:val="008A48E0"/>
    <w:rsid w:val="008A66F7"/>
    <w:rsid w:val="008A782D"/>
    <w:rsid w:val="008B5D37"/>
    <w:rsid w:val="008C0C86"/>
    <w:rsid w:val="008C0D38"/>
    <w:rsid w:val="008C1C9E"/>
    <w:rsid w:val="008D2B57"/>
    <w:rsid w:val="008E3DE8"/>
    <w:rsid w:val="008E514B"/>
    <w:rsid w:val="008F05BF"/>
    <w:rsid w:val="008F110D"/>
    <w:rsid w:val="008F36A4"/>
    <w:rsid w:val="008F640E"/>
    <w:rsid w:val="00911D50"/>
    <w:rsid w:val="0092263B"/>
    <w:rsid w:val="0092409A"/>
    <w:rsid w:val="00925217"/>
    <w:rsid w:val="009257DE"/>
    <w:rsid w:val="00927057"/>
    <w:rsid w:val="00946502"/>
    <w:rsid w:val="00950109"/>
    <w:rsid w:val="00962F8C"/>
    <w:rsid w:val="0096613D"/>
    <w:rsid w:val="0096690D"/>
    <w:rsid w:val="0096777C"/>
    <w:rsid w:val="009728E7"/>
    <w:rsid w:val="00975547"/>
    <w:rsid w:val="00975F1E"/>
    <w:rsid w:val="00982FDF"/>
    <w:rsid w:val="0098652F"/>
    <w:rsid w:val="00991426"/>
    <w:rsid w:val="009954D6"/>
    <w:rsid w:val="009B6305"/>
    <w:rsid w:val="009C3F85"/>
    <w:rsid w:val="009D2AC0"/>
    <w:rsid w:val="009D2D71"/>
    <w:rsid w:val="009D7820"/>
    <w:rsid w:val="009E4182"/>
    <w:rsid w:val="009E6B35"/>
    <w:rsid w:val="009F1FE2"/>
    <w:rsid w:val="00A005F5"/>
    <w:rsid w:val="00A0275A"/>
    <w:rsid w:val="00A040E9"/>
    <w:rsid w:val="00A07134"/>
    <w:rsid w:val="00A10BE4"/>
    <w:rsid w:val="00A16117"/>
    <w:rsid w:val="00A4211E"/>
    <w:rsid w:val="00A45707"/>
    <w:rsid w:val="00A45D5A"/>
    <w:rsid w:val="00A4637C"/>
    <w:rsid w:val="00A56B23"/>
    <w:rsid w:val="00A57395"/>
    <w:rsid w:val="00A60EA1"/>
    <w:rsid w:val="00A673FC"/>
    <w:rsid w:val="00A67CCD"/>
    <w:rsid w:val="00A7679C"/>
    <w:rsid w:val="00A82B1F"/>
    <w:rsid w:val="00A91277"/>
    <w:rsid w:val="00A936EE"/>
    <w:rsid w:val="00A93FD9"/>
    <w:rsid w:val="00A96E7B"/>
    <w:rsid w:val="00A97A77"/>
    <w:rsid w:val="00AA05AF"/>
    <w:rsid w:val="00AA0B46"/>
    <w:rsid w:val="00AA0FE4"/>
    <w:rsid w:val="00AB13CB"/>
    <w:rsid w:val="00AB6337"/>
    <w:rsid w:val="00AB7712"/>
    <w:rsid w:val="00AD336D"/>
    <w:rsid w:val="00AD394B"/>
    <w:rsid w:val="00AE12CD"/>
    <w:rsid w:val="00AF31F4"/>
    <w:rsid w:val="00AF48D8"/>
    <w:rsid w:val="00B03D7A"/>
    <w:rsid w:val="00B11618"/>
    <w:rsid w:val="00B12012"/>
    <w:rsid w:val="00B12D30"/>
    <w:rsid w:val="00B15C93"/>
    <w:rsid w:val="00B20FDF"/>
    <w:rsid w:val="00B2689A"/>
    <w:rsid w:val="00B33CDE"/>
    <w:rsid w:val="00B34F68"/>
    <w:rsid w:val="00B36577"/>
    <w:rsid w:val="00B40A2B"/>
    <w:rsid w:val="00B445F4"/>
    <w:rsid w:val="00B45C39"/>
    <w:rsid w:val="00B6052F"/>
    <w:rsid w:val="00B6253F"/>
    <w:rsid w:val="00B67B10"/>
    <w:rsid w:val="00B73F2E"/>
    <w:rsid w:val="00B7496F"/>
    <w:rsid w:val="00B75FEF"/>
    <w:rsid w:val="00B76C0D"/>
    <w:rsid w:val="00B83819"/>
    <w:rsid w:val="00B84E01"/>
    <w:rsid w:val="00B85168"/>
    <w:rsid w:val="00B97E94"/>
    <w:rsid w:val="00BA47A0"/>
    <w:rsid w:val="00BA6E62"/>
    <w:rsid w:val="00BA71D0"/>
    <w:rsid w:val="00BB05E4"/>
    <w:rsid w:val="00BB7249"/>
    <w:rsid w:val="00BB7800"/>
    <w:rsid w:val="00BD2B51"/>
    <w:rsid w:val="00BE0261"/>
    <w:rsid w:val="00BE2F33"/>
    <w:rsid w:val="00BE53EC"/>
    <w:rsid w:val="00BF0A01"/>
    <w:rsid w:val="00C03506"/>
    <w:rsid w:val="00C06D82"/>
    <w:rsid w:val="00C17D09"/>
    <w:rsid w:val="00C210A3"/>
    <w:rsid w:val="00C2117B"/>
    <w:rsid w:val="00C22A57"/>
    <w:rsid w:val="00C23DB0"/>
    <w:rsid w:val="00C24629"/>
    <w:rsid w:val="00C378BF"/>
    <w:rsid w:val="00C41832"/>
    <w:rsid w:val="00C45688"/>
    <w:rsid w:val="00C47098"/>
    <w:rsid w:val="00C57614"/>
    <w:rsid w:val="00C7102D"/>
    <w:rsid w:val="00C72E24"/>
    <w:rsid w:val="00C7317B"/>
    <w:rsid w:val="00C76192"/>
    <w:rsid w:val="00C83A2F"/>
    <w:rsid w:val="00C84683"/>
    <w:rsid w:val="00C85B6B"/>
    <w:rsid w:val="00CA00DC"/>
    <w:rsid w:val="00CA2C7A"/>
    <w:rsid w:val="00CC09B4"/>
    <w:rsid w:val="00CC11FF"/>
    <w:rsid w:val="00CD09C5"/>
    <w:rsid w:val="00CE0966"/>
    <w:rsid w:val="00CE6BA1"/>
    <w:rsid w:val="00D003C9"/>
    <w:rsid w:val="00D004C6"/>
    <w:rsid w:val="00D00DFD"/>
    <w:rsid w:val="00D05A18"/>
    <w:rsid w:val="00D142F2"/>
    <w:rsid w:val="00D17BCE"/>
    <w:rsid w:val="00D21D5F"/>
    <w:rsid w:val="00D25D55"/>
    <w:rsid w:val="00D26BE8"/>
    <w:rsid w:val="00D518E4"/>
    <w:rsid w:val="00D72759"/>
    <w:rsid w:val="00D72D3A"/>
    <w:rsid w:val="00D745AE"/>
    <w:rsid w:val="00D85458"/>
    <w:rsid w:val="00D90001"/>
    <w:rsid w:val="00D9512D"/>
    <w:rsid w:val="00DA0896"/>
    <w:rsid w:val="00DA7EE9"/>
    <w:rsid w:val="00DB3908"/>
    <w:rsid w:val="00DB72A5"/>
    <w:rsid w:val="00DC42BA"/>
    <w:rsid w:val="00DC64F2"/>
    <w:rsid w:val="00DC79BD"/>
    <w:rsid w:val="00DD0F36"/>
    <w:rsid w:val="00DD147A"/>
    <w:rsid w:val="00DD4F0D"/>
    <w:rsid w:val="00DD5E8D"/>
    <w:rsid w:val="00DD6302"/>
    <w:rsid w:val="00DD7376"/>
    <w:rsid w:val="00DD7704"/>
    <w:rsid w:val="00DE66DC"/>
    <w:rsid w:val="00DF1491"/>
    <w:rsid w:val="00DF4C6A"/>
    <w:rsid w:val="00DF5147"/>
    <w:rsid w:val="00E0287B"/>
    <w:rsid w:val="00E044FB"/>
    <w:rsid w:val="00E12431"/>
    <w:rsid w:val="00E1777B"/>
    <w:rsid w:val="00E2039C"/>
    <w:rsid w:val="00E276EA"/>
    <w:rsid w:val="00E35510"/>
    <w:rsid w:val="00E35E05"/>
    <w:rsid w:val="00E42EF4"/>
    <w:rsid w:val="00E508E1"/>
    <w:rsid w:val="00E53242"/>
    <w:rsid w:val="00E56634"/>
    <w:rsid w:val="00E6042C"/>
    <w:rsid w:val="00E676E8"/>
    <w:rsid w:val="00E759DD"/>
    <w:rsid w:val="00E9178D"/>
    <w:rsid w:val="00E91FAB"/>
    <w:rsid w:val="00E9690D"/>
    <w:rsid w:val="00E96E09"/>
    <w:rsid w:val="00EA3667"/>
    <w:rsid w:val="00EA4999"/>
    <w:rsid w:val="00EA4D44"/>
    <w:rsid w:val="00EA5684"/>
    <w:rsid w:val="00EB1453"/>
    <w:rsid w:val="00EB3030"/>
    <w:rsid w:val="00EB367A"/>
    <w:rsid w:val="00EB3913"/>
    <w:rsid w:val="00EC08C4"/>
    <w:rsid w:val="00EC5B9E"/>
    <w:rsid w:val="00EE0348"/>
    <w:rsid w:val="00EE085F"/>
    <w:rsid w:val="00EE2CB2"/>
    <w:rsid w:val="00EE51D3"/>
    <w:rsid w:val="00EE5BF3"/>
    <w:rsid w:val="00EE7D08"/>
    <w:rsid w:val="00F02A58"/>
    <w:rsid w:val="00F11459"/>
    <w:rsid w:val="00F37C81"/>
    <w:rsid w:val="00F545E4"/>
    <w:rsid w:val="00F55FB5"/>
    <w:rsid w:val="00F63756"/>
    <w:rsid w:val="00F74DD6"/>
    <w:rsid w:val="00F7685A"/>
    <w:rsid w:val="00F769A4"/>
    <w:rsid w:val="00F775CC"/>
    <w:rsid w:val="00F82180"/>
    <w:rsid w:val="00F91D83"/>
    <w:rsid w:val="00F96C27"/>
    <w:rsid w:val="00FA2CA4"/>
    <w:rsid w:val="00FB015E"/>
    <w:rsid w:val="00FB0567"/>
    <w:rsid w:val="00FC0BB3"/>
    <w:rsid w:val="00FC3114"/>
    <w:rsid w:val="00FD2F35"/>
    <w:rsid w:val="00FD79DE"/>
    <w:rsid w:val="00FE2602"/>
    <w:rsid w:val="00FE2C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B97E94"/>
    <w:pPr>
      <w:spacing w:line="300" w:lineRule="exact"/>
    </w:pPr>
    <w:rPr>
      <w:rFonts w:ascii="Arial" w:hAnsi="Arial"/>
      <w:sz w:val="22"/>
      <w:szCs w:val="24"/>
    </w:rPr>
  </w:style>
  <w:style w:type="paragraph" w:styleId="berschrift1">
    <w:name w:val="heading 1"/>
    <w:basedOn w:val="Standard"/>
    <w:next w:val="Standard"/>
    <w:qFormat/>
    <w:rsid w:val="0012743D"/>
    <w:pPr>
      <w:keepNext/>
      <w:keepLines/>
      <w:spacing w:before="480" w:after="120"/>
      <w:ind w:left="851" w:hanging="851"/>
      <w:outlineLvl w:val="0"/>
    </w:pPr>
    <w:rPr>
      <w:rFonts w:cs="Arial"/>
      <w:b/>
      <w:bCs/>
      <w:szCs w:val="32"/>
    </w:rPr>
  </w:style>
  <w:style w:type="paragraph" w:styleId="berschrift2">
    <w:name w:val="heading 2"/>
    <w:basedOn w:val="Standard"/>
    <w:next w:val="Standard"/>
    <w:qFormat/>
    <w:rsid w:val="0012743D"/>
    <w:pPr>
      <w:keepNext/>
      <w:keepLines/>
      <w:spacing w:before="360" w:after="120"/>
      <w:ind w:left="851" w:hanging="851"/>
      <w:outlineLvl w:val="1"/>
    </w:pPr>
    <w:rPr>
      <w:rFonts w:cs="Arial"/>
      <w:bCs/>
      <w:iCs/>
      <w:szCs w:val="28"/>
    </w:rPr>
  </w:style>
  <w:style w:type="paragraph" w:styleId="berschrift3">
    <w:name w:val="heading 3"/>
    <w:basedOn w:val="berschrift2"/>
    <w:next w:val="Standard"/>
    <w:qFormat/>
    <w:rsid w:val="00A07134"/>
    <w:pPr>
      <w:outlineLvl w:val="2"/>
    </w:pPr>
    <w:rPr>
      <w:bCs w:val="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1Einrckung">
    <w:name w:val="1. Einrückung"/>
    <w:basedOn w:val="Standard"/>
    <w:rsid w:val="00E676E8"/>
    <w:pPr>
      <w:tabs>
        <w:tab w:val="left" w:pos="567"/>
      </w:tabs>
      <w:ind w:left="567" w:hanging="567"/>
    </w:pPr>
  </w:style>
  <w:style w:type="paragraph" w:customStyle="1" w:styleId="2Einrckung">
    <w:name w:val="2. Einrückung"/>
    <w:basedOn w:val="Standard"/>
    <w:rsid w:val="00E676E8"/>
    <w:pPr>
      <w:tabs>
        <w:tab w:val="left" w:pos="567"/>
        <w:tab w:val="left" w:pos="1134"/>
      </w:tabs>
      <w:ind w:left="1134" w:hanging="567"/>
    </w:pPr>
  </w:style>
  <w:style w:type="paragraph" w:customStyle="1" w:styleId="3Einrckung">
    <w:name w:val="3. Einrückung"/>
    <w:basedOn w:val="Standard"/>
    <w:rsid w:val="00E676E8"/>
    <w:pPr>
      <w:tabs>
        <w:tab w:val="left" w:pos="567"/>
        <w:tab w:val="left" w:pos="1134"/>
        <w:tab w:val="left" w:pos="1701"/>
      </w:tabs>
      <w:ind w:left="1701" w:hanging="567"/>
    </w:pPr>
  </w:style>
  <w:style w:type="paragraph" w:styleId="Funotentext">
    <w:name w:val="footnote text"/>
    <w:basedOn w:val="Standard"/>
    <w:semiHidden/>
    <w:rsid w:val="00A45707"/>
    <w:pPr>
      <w:tabs>
        <w:tab w:val="left" w:pos="170"/>
      </w:tabs>
      <w:ind w:left="170" w:hanging="170"/>
    </w:pPr>
    <w:rPr>
      <w:sz w:val="20"/>
      <w:szCs w:val="20"/>
    </w:rPr>
  </w:style>
  <w:style w:type="character" w:styleId="Funotenzeichen">
    <w:name w:val="footnote reference"/>
    <w:aliases w:val=" BVI fnr,BVI fnr, BVI fnr Car Car,BVI fnr Car, BVI fnr Car Car Car Car,BVI fnr Car Car, BVI fnr Car Car Car Car Char Char, BVI fnr Car Car Car Car Char Char Char Char Char, BVI fnr Car Car Car Car Char, BVI fnr Carácter,BVI fnr Carác"/>
    <w:basedOn w:val="Absatz-Standardschriftart"/>
    <w:link w:val="Char2"/>
    <w:rsid w:val="005D4204"/>
    <w:rPr>
      <w:vertAlign w:val="superscript"/>
    </w:rPr>
  </w:style>
  <w:style w:type="paragraph" w:styleId="Fuzeile">
    <w:name w:val="footer"/>
    <w:basedOn w:val="Standard"/>
    <w:link w:val="FuzeileZchn"/>
    <w:uiPriority w:val="99"/>
    <w:rsid w:val="008A782D"/>
    <w:pPr>
      <w:tabs>
        <w:tab w:val="right" w:pos="9071"/>
      </w:tabs>
      <w:spacing w:line="240" w:lineRule="auto"/>
      <w:jc w:val="both"/>
    </w:pPr>
    <w:rPr>
      <w:szCs w:val="22"/>
    </w:rPr>
  </w:style>
  <w:style w:type="table" w:styleId="Tabellenraster">
    <w:name w:val="Table Grid"/>
    <w:basedOn w:val="NormaleTabelle"/>
    <w:rsid w:val="007D4EA4"/>
    <w:pPr>
      <w:spacing w:line="300" w:lineRule="exact"/>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rsid w:val="00033BAF"/>
    <w:pPr>
      <w:tabs>
        <w:tab w:val="center" w:pos="4536"/>
        <w:tab w:val="right" w:pos="9072"/>
      </w:tabs>
      <w:spacing w:line="240" w:lineRule="auto"/>
    </w:pPr>
  </w:style>
  <w:style w:type="paragraph" w:styleId="Verzeichnis1">
    <w:name w:val="toc 1"/>
    <w:basedOn w:val="Standard"/>
    <w:next w:val="Standard"/>
    <w:autoRedefine/>
    <w:uiPriority w:val="39"/>
    <w:rsid w:val="00493E4B"/>
    <w:pPr>
      <w:tabs>
        <w:tab w:val="right" w:pos="8789"/>
      </w:tabs>
      <w:spacing w:before="120" w:after="60" w:line="240" w:lineRule="auto"/>
      <w:ind w:left="851" w:hanging="851"/>
      <w:outlineLvl w:val="0"/>
    </w:pPr>
    <w:rPr>
      <w:b/>
      <w:noProof/>
    </w:rPr>
  </w:style>
  <w:style w:type="paragraph" w:styleId="Verzeichnis2">
    <w:name w:val="toc 2"/>
    <w:basedOn w:val="Standard"/>
    <w:next w:val="Standard"/>
    <w:autoRedefine/>
    <w:uiPriority w:val="39"/>
    <w:rsid w:val="0012743D"/>
    <w:pPr>
      <w:tabs>
        <w:tab w:val="right" w:pos="8789"/>
      </w:tabs>
      <w:spacing w:line="240" w:lineRule="auto"/>
      <w:ind w:left="851" w:right="1134" w:hanging="851"/>
      <w:outlineLvl w:val="0"/>
    </w:pPr>
    <w:rPr>
      <w:noProof/>
    </w:rPr>
  </w:style>
  <w:style w:type="character" w:styleId="Hyperlink">
    <w:name w:val="Hyperlink"/>
    <w:basedOn w:val="Absatz-Standardschriftart"/>
    <w:uiPriority w:val="99"/>
    <w:rsid w:val="00351E8C"/>
    <w:rPr>
      <w:color w:val="0000FF"/>
      <w:u w:val="single"/>
    </w:rPr>
  </w:style>
  <w:style w:type="paragraph" w:styleId="Verzeichnis3">
    <w:name w:val="toc 3"/>
    <w:basedOn w:val="Standard"/>
    <w:next w:val="Standard"/>
    <w:autoRedefine/>
    <w:rsid w:val="007A3BED"/>
    <w:pPr>
      <w:tabs>
        <w:tab w:val="right" w:pos="8789"/>
      </w:tabs>
    </w:pPr>
  </w:style>
  <w:style w:type="paragraph" w:customStyle="1" w:styleId="TitelKopfzeile">
    <w:name w:val="Titel_Kopfzeile"/>
    <w:basedOn w:val="Kopfzeile"/>
    <w:rsid w:val="00E35510"/>
    <w:pPr>
      <w:tabs>
        <w:tab w:val="clear" w:pos="4536"/>
        <w:tab w:val="clear" w:pos="9072"/>
      </w:tabs>
      <w:spacing w:before="120" w:after="360"/>
    </w:pPr>
    <w:rPr>
      <w:b/>
    </w:rPr>
  </w:style>
  <w:style w:type="paragraph" w:customStyle="1" w:styleId="Inhalt">
    <w:name w:val="Inhalt"/>
    <w:basedOn w:val="Standard"/>
    <w:rsid w:val="0016789E"/>
    <w:pPr>
      <w:spacing w:before="480" w:after="240"/>
    </w:pPr>
    <w:rPr>
      <w:b/>
      <w:sz w:val="28"/>
      <w:szCs w:val="28"/>
    </w:rPr>
  </w:style>
  <w:style w:type="paragraph" w:styleId="Sprechblasentext">
    <w:name w:val="Balloon Text"/>
    <w:basedOn w:val="Standard"/>
    <w:semiHidden/>
    <w:rsid w:val="00B84E01"/>
    <w:rPr>
      <w:rFonts w:ascii="Tahoma" w:hAnsi="Tahoma" w:cs="Tahoma"/>
      <w:sz w:val="16"/>
      <w:szCs w:val="16"/>
    </w:rPr>
  </w:style>
  <w:style w:type="character" w:styleId="Kommentarzeichen">
    <w:name w:val="annotation reference"/>
    <w:basedOn w:val="Absatz-Standardschriftart"/>
    <w:rsid w:val="00270D3A"/>
    <w:rPr>
      <w:sz w:val="16"/>
      <w:szCs w:val="16"/>
    </w:rPr>
  </w:style>
  <w:style w:type="paragraph" w:styleId="Kommentartext">
    <w:name w:val="annotation text"/>
    <w:basedOn w:val="Standard"/>
    <w:link w:val="KommentartextZchn"/>
    <w:rsid w:val="00270D3A"/>
    <w:pPr>
      <w:spacing w:line="240" w:lineRule="auto"/>
    </w:pPr>
    <w:rPr>
      <w:sz w:val="20"/>
      <w:szCs w:val="20"/>
    </w:rPr>
  </w:style>
  <w:style w:type="character" w:customStyle="1" w:styleId="KommentartextZchn">
    <w:name w:val="Kommentartext Zchn"/>
    <w:basedOn w:val="Absatz-Standardschriftart"/>
    <w:link w:val="Kommentartext"/>
    <w:rsid w:val="00270D3A"/>
    <w:rPr>
      <w:rFonts w:ascii="Arial" w:hAnsi="Arial"/>
    </w:rPr>
  </w:style>
  <w:style w:type="paragraph" w:styleId="Kommentarthema">
    <w:name w:val="annotation subject"/>
    <w:basedOn w:val="Kommentartext"/>
    <w:next w:val="Kommentartext"/>
    <w:link w:val="KommentarthemaZchn"/>
    <w:rsid w:val="00270D3A"/>
    <w:rPr>
      <w:b/>
      <w:bCs/>
    </w:rPr>
  </w:style>
  <w:style w:type="character" w:customStyle="1" w:styleId="KommentarthemaZchn">
    <w:name w:val="Kommentarthema Zchn"/>
    <w:basedOn w:val="KommentartextZchn"/>
    <w:link w:val="Kommentarthema"/>
    <w:rsid w:val="00270D3A"/>
    <w:rPr>
      <w:rFonts w:ascii="Arial" w:hAnsi="Arial"/>
      <w:b/>
      <w:bCs/>
    </w:rPr>
  </w:style>
  <w:style w:type="table" w:customStyle="1" w:styleId="Tabellenraster1">
    <w:name w:val="Tabellenraster1"/>
    <w:basedOn w:val="NormaleTabelle"/>
    <w:next w:val="Tabellenraster"/>
    <w:uiPriority w:val="59"/>
    <w:rsid w:val="004E1CD9"/>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2">
    <w:name w:val="Char2"/>
    <w:basedOn w:val="Standard"/>
    <w:link w:val="Funotenzeichen"/>
    <w:rsid w:val="004E1CD9"/>
    <w:pPr>
      <w:spacing w:after="160" w:line="240" w:lineRule="exact"/>
      <w:jc w:val="both"/>
    </w:pPr>
    <w:rPr>
      <w:rFonts w:ascii="Times New Roman" w:hAnsi="Times New Roman"/>
      <w:sz w:val="20"/>
      <w:szCs w:val="20"/>
      <w:vertAlign w:val="superscript"/>
    </w:rPr>
  </w:style>
  <w:style w:type="character" w:customStyle="1" w:styleId="hps">
    <w:name w:val="hps"/>
    <w:basedOn w:val="Absatz-Standardschriftart"/>
    <w:rsid w:val="004E1CD9"/>
  </w:style>
  <w:style w:type="character" w:customStyle="1" w:styleId="FuzeileZchn">
    <w:name w:val="Fußzeile Zchn"/>
    <w:basedOn w:val="Absatz-Standardschriftart"/>
    <w:link w:val="Fuzeile"/>
    <w:uiPriority w:val="99"/>
    <w:rsid w:val="008919E6"/>
    <w:rPr>
      <w:rFonts w:ascii="Arial" w:hAnsi="Arial"/>
      <w:sz w:val="22"/>
      <w:szCs w:val="22"/>
    </w:rPr>
  </w:style>
  <w:style w:type="paragraph" w:styleId="Listenabsatz">
    <w:name w:val="List Paragraph"/>
    <w:basedOn w:val="Standard"/>
    <w:uiPriority w:val="34"/>
    <w:qFormat/>
    <w:rsid w:val="00AD336D"/>
    <w:pPr>
      <w:ind w:left="720"/>
      <w:contextualSpacing/>
    </w:pPr>
  </w:style>
  <w:style w:type="paragraph" w:customStyle="1" w:styleId="Ergebnisbox">
    <w:name w:val="Ergebnisbox"/>
    <w:basedOn w:val="Standard"/>
    <w:qFormat/>
    <w:rsid w:val="00215BE4"/>
    <w:pPr>
      <w:spacing w:before="120" w:after="120" w:line="240" w:lineRule="auto"/>
      <w:ind w:left="284"/>
    </w:pPr>
    <w:rPr>
      <w:szCs w:val="20"/>
    </w:rPr>
  </w:style>
  <w:style w:type="paragraph" w:customStyle="1" w:styleId="Default">
    <w:name w:val="Default"/>
    <w:rsid w:val="003D4172"/>
    <w:pPr>
      <w:autoSpaceDE w:val="0"/>
      <w:autoSpaceDN w:val="0"/>
      <w:adjustRightInd w:val="0"/>
    </w:pPr>
    <w:rPr>
      <w:rFonts w:ascii="Garamond" w:hAnsi="Garamond" w:cs="Garamond"/>
      <w:color w:val="000000"/>
      <w:sz w:val="24"/>
      <w:szCs w:val="24"/>
    </w:rPr>
  </w:style>
  <w:style w:type="character" w:styleId="Seitenzahl">
    <w:name w:val="page number"/>
    <w:basedOn w:val="Absatz-Standardschriftart"/>
    <w:unhideWhenUsed/>
    <w:rsid w:val="00876E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438647">
      <w:bodyDiv w:val="1"/>
      <w:marLeft w:val="0"/>
      <w:marRight w:val="0"/>
      <w:marTop w:val="0"/>
      <w:marBottom w:val="0"/>
      <w:divBdr>
        <w:top w:val="none" w:sz="0" w:space="0" w:color="auto"/>
        <w:left w:val="none" w:sz="0" w:space="0" w:color="auto"/>
        <w:bottom w:val="none" w:sz="0" w:space="0" w:color="auto"/>
        <w:right w:val="none" w:sz="0" w:space="0" w:color="auto"/>
      </w:divBdr>
    </w:div>
    <w:div w:id="209921418">
      <w:bodyDiv w:val="1"/>
      <w:marLeft w:val="0"/>
      <w:marRight w:val="0"/>
      <w:marTop w:val="0"/>
      <w:marBottom w:val="0"/>
      <w:divBdr>
        <w:top w:val="none" w:sz="0" w:space="0" w:color="auto"/>
        <w:left w:val="none" w:sz="0" w:space="0" w:color="auto"/>
        <w:bottom w:val="none" w:sz="0" w:space="0" w:color="auto"/>
        <w:right w:val="none" w:sz="0" w:space="0" w:color="auto"/>
      </w:divBdr>
    </w:div>
    <w:div w:id="234751349">
      <w:bodyDiv w:val="1"/>
      <w:marLeft w:val="0"/>
      <w:marRight w:val="0"/>
      <w:marTop w:val="0"/>
      <w:marBottom w:val="0"/>
      <w:divBdr>
        <w:top w:val="none" w:sz="0" w:space="0" w:color="auto"/>
        <w:left w:val="none" w:sz="0" w:space="0" w:color="auto"/>
        <w:bottom w:val="none" w:sz="0" w:space="0" w:color="auto"/>
        <w:right w:val="none" w:sz="0" w:space="0" w:color="auto"/>
      </w:divBdr>
    </w:div>
    <w:div w:id="241574912">
      <w:bodyDiv w:val="1"/>
      <w:marLeft w:val="0"/>
      <w:marRight w:val="0"/>
      <w:marTop w:val="0"/>
      <w:marBottom w:val="0"/>
      <w:divBdr>
        <w:top w:val="none" w:sz="0" w:space="0" w:color="auto"/>
        <w:left w:val="none" w:sz="0" w:space="0" w:color="auto"/>
        <w:bottom w:val="none" w:sz="0" w:space="0" w:color="auto"/>
        <w:right w:val="none" w:sz="0" w:space="0" w:color="auto"/>
      </w:divBdr>
    </w:div>
    <w:div w:id="261691249">
      <w:bodyDiv w:val="1"/>
      <w:marLeft w:val="0"/>
      <w:marRight w:val="0"/>
      <w:marTop w:val="0"/>
      <w:marBottom w:val="0"/>
      <w:divBdr>
        <w:top w:val="none" w:sz="0" w:space="0" w:color="auto"/>
        <w:left w:val="none" w:sz="0" w:space="0" w:color="auto"/>
        <w:bottom w:val="none" w:sz="0" w:space="0" w:color="auto"/>
        <w:right w:val="none" w:sz="0" w:space="0" w:color="auto"/>
      </w:divBdr>
    </w:div>
    <w:div w:id="564490030">
      <w:bodyDiv w:val="1"/>
      <w:marLeft w:val="0"/>
      <w:marRight w:val="0"/>
      <w:marTop w:val="0"/>
      <w:marBottom w:val="0"/>
      <w:divBdr>
        <w:top w:val="none" w:sz="0" w:space="0" w:color="auto"/>
        <w:left w:val="none" w:sz="0" w:space="0" w:color="auto"/>
        <w:bottom w:val="none" w:sz="0" w:space="0" w:color="auto"/>
        <w:right w:val="none" w:sz="0" w:space="0" w:color="auto"/>
      </w:divBdr>
    </w:div>
    <w:div w:id="755790906">
      <w:bodyDiv w:val="1"/>
      <w:marLeft w:val="0"/>
      <w:marRight w:val="0"/>
      <w:marTop w:val="0"/>
      <w:marBottom w:val="0"/>
      <w:divBdr>
        <w:top w:val="none" w:sz="0" w:space="0" w:color="auto"/>
        <w:left w:val="none" w:sz="0" w:space="0" w:color="auto"/>
        <w:bottom w:val="none" w:sz="0" w:space="0" w:color="auto"/>
        <w:right w:val="none" w:sz="0" w:space="0" w:color="auto"/>
      </w:divBdr>
    </w:div>
    <w:div w:id="765081185">
      <w:bodyDiv w:val="1"/>
      <w:marLeft w:val="0"/>
      <w:marRight w:val="0"/>
      <w:marTop w:val="0"/>
      <w:marBottom w:val="0"/>
      <w:divBdr>
        <w:top w:val="none" w:sz="0" w:space="0" w:color="auto"/>
        <w:left w:val="none" w:sz="0" w:space="0" w:color="auto"/>
        <w:bottom w:val="none" w:sz="0" w:space="0" w:color="auto"/>
        <w:right w:val="none" w:sz="0" w:space="0" w:color="auto"/>
      </w:divBdr>
    </w:div>
    <w:div w:id="813179449">
      <w:bodyDiv w:val="1"/>
      <w:marLeft w:val="0"/>
      <w:marRight w:val="0"/>
      <w:marTop w:val="0"/>
      <w:marBottom w:val="0"/>
      <w:divBdr>
        <w:top w:val="none" w:sz="0" w:space="0" w:color="auto"/>
        <w:left w:val="none" w:sz="0" w:space="0" w:color="auto"/>
        <w:bottom w:val="none" w:sz="0" w:space="0" w:color="auto"/>
        <w:right w:val="none" w:sz="0" w:space="0" w:color="auto"/>
      </w:divBdr>
    </w:div>
    <w:div w:id="830366885">
      <w:bodyDiv w:val="1"/>
      <w:marLeft w:val="0"/>
      <w:marRight w:val="0"/>
      <w:marTop w:val="0"/>
      <w:marBottom w:val="0"/>
      <w:divBdr>
        <w:top w:val="none" w:sz="0" w:space="0" w:color="auto"/>
        <w:left w:val="none" w:sz="0" w:space="0" w:color="auto"/>
        <w:bottom w:val="none" w:sz="0" w:space="0" w:color="auto"/>
        <w:right w:val="none" w:sz="0" w:space="0" w:color="auto"/>
      </w:divBdr>
    </w:div>
    <w:div w:id="875779160">
      <w:bodyDiv w:val="1"/>
      <w:marLeft w:val="0"/>
      <w:marRight w:val="0"/>
      <w:marTop w:val="0"/>
      <w:marBottom w:val="0"/>
      <w:divBdr>
        <w:top w:val="none" w:sz="0" w:space="0" w:color="auto"/>
        <w:left w:val="none" w:sz="0" w:space="0" w:color="auto"/>
        <w:bottom w:val="none" w:sz="0" w:space="0" w:color="auto"/>
        <w:right w:val="none" w:sz="0" w:space="0" w:color="auto"/>
      </w:divBdr>
    </w:div>
    <w:div w:id="903297411">
      <w:bodyDiv w:val="1"/>
      <w:marLeft w:val="0"/>
      <w:marRight w:val="0"/>
      <w:marTop w:val="0"/>
      <w:marBottom w:val="0"/>
      <w:divBdr>
        <w:top w:val="none" w:sz="0" w:space="0" w:color="auto"/>
        <w:left w:val="none" w:sz="0" w:space="0" w:color="auto"/>
        <w:bottom w:val="none" w:sz="0" w:space="0" w:color="auto"/>
        <w:right w:val="none" w:sz="0" w:space="0" w:color="auto"/>
      </w:divBdr>
    </w:div>
    <w:div w:id="1065683701">
      <w:bodyDiv w:val="1"/>
      <w:marLeft w:val="0"/>
      <w:marRight w:val="0"/>
      <w:marTop w:val="0"/>
      <w:marBottom w:val="0"/>
      <w:divBdr>
        <w:top w:val="none" w:sz="0" w:space="0" w:color="auto"/>
        <w:left w:val="none" w:sz="0" w:space="0" w:color="auto"/>
        <w:bottom w:val="none" w:sz="0" w:space="0" w:color="auto"/>
        <w:right w:val="none" w:sz="0" w:space="0" w:color="auto"/>
      </w:divBdr>
    </w:div>
    <w:div w:id="1238907357">
      <w:bodyDiv w:val="1"/>
      <w:marLeft w:val="0"/>
      <w:marRight w:val="0"/>
      <w:marTop w:val="0"/>
      <w:marBottom w:val="0"/>
      <w:divBdr>
        <w:top w:val="none" w:sz="0" w:space="0" w:color="auto"/>
        <w:left w:val="none" w:sz="0" w:space="0" w:color="auto"/>
        <w:bottom w:val="none" w:sz="0" w:space="0" w:color="auto"/>
        <w:right w:val="none" w:sz="0" w:space="0" w:color="auto"/>
      </w:divBdr>
    </w:div>
    <w:div w:id="1390763391">
      <w:bodyDiv w:val="1"/>
      <w:marLeft w:val="0"/>
      <w:marRight w:val="0"/>
      <w:marTop w:val="0"/>
      <w:marBottom w:val="0"/>
      <w:divBdr>
        <w:top w:val="none" w:sz="0" w:space="0" w:color="auto"/>
        <w:left w:val="none" w:sz="0" w:space="0" w:color="auto"/>
        <w:bottom w:val="none" w:sz="0" w:space="0" w:color="auto"/>
        <w:right w:val="none" w:sz="0" w:space="0" w:color="auto"/>
      </w:divBdr>
    </w:div>
    <w:div w:id="1413971907">
      <w:bodyDiv w:val="1"/>
      <w:marLeft w:val="0"/>
      <w:marRight w:val="0"/>
      <w:marTop w:val="0"/>
      <w:marBottom w:val="0"/>
      <w:divBdr>
        <w:top w:val="none" w:sz="0" w:space="0" w:color="auto"/>
        <w:left w:val="none" w:sz="0" w:space="0" w:color="auto"/>
        <w:bottom w:val="none" w:sz="0" w:space="0" w:color="auto"/>
        <w:right w:val="none" w:sz="0" w:space="0" w:color="auto"/>
      </w:divBdr>
    </w:div>
    <w:div w:id="1442341578">
      <w:bodyDiv w:val="1"/>
      <w:marLeft w:val="0"/>
      <w:marRight w:val="0"/>
      <w:marTop w:val="0"/>
      <w:marBottom w:val="0"/>
      <w:divBdr>
        <w:top w:val="none" w:sz="0" w:space="0" w:color="auto"/>
        <w:left w:val="none" w:sz="0" w:space="0" w:color="auto"/>
        <w:bottom w:val="none" w:sz="0" w:space="0" w:color="auto"/>
        <w:right w:val="none" w:sz="0" w:space="0" w:color="auto"/>
      </w:divBdr>
    </w:div>
    <w:div w:id="1509128471">
      <w:bodyDiv w:val="1"/>
      <w:marLeft w:val="0"/>
      <w:marRight w:val="0"/>
      <w:marTop w:val="0"/>
      <w:marBottom w:val="0"/>
      <w:divBdr>
        <w:top w:val="none" w:sz="0" w:space="0" w:color="auto"/>
        <w:left w:val="none" w:sz="0" w:space="0" w:color="auto"/>
        <w:bottom w:val="none" w:sz="0" w:space="0" w:color="auto"/>
        <w:right w:val="none" w:sz="0" w:space="0" w:color="auto"/>
      </w:divBdr>
    </w:div>
    <w:div w:id="1509753415">
      <w:bodyDiv w:val="1"/>
      <w:marLeft w:val="0"/>
      <w:marRight w:val="0"/>
      <w:marTop w:val="0"/>
      <w:marBottom w:val="0"/>
      <w:divBdr>
        <w:top w:val="none" w:sz="0" w:space="0" w:color="auto"/>
        <w:left w:val="none" w:sz="0" w:space="0" w:color="auto"/>
        <w:bottom w:val="none" w:sz="0" w:space="0" w:color="auto"/>
        <w:right w:val="none" w:sz="0" w:space="0" w:color="auto"/>
      </w:divBdr>
    </w:div>
    <w:div w:id="1596593186">
      <w:bodyDiv w:val="1"/>
      <w:marLeft w:val="0"/>
      <w:marRight w:val="0"/>
      <w:marTop w:val="0"/>
      <w:marBottom w:val="0"/>
      <w:divBdr>
        <w:top w:val="none" w:sz="0" w:space="0" w:color="auto"/>
        <w:left w:val="none" w:sz="0" w:space="0" w:color="auto"/>
        <w:bottom w:val="none" w:sz="0" w:space="0" w:color="auto"/>
        <w:right w:val="none" w:sz="0" w:space="0" w:color="auto"/>
      </w:divBdr>
    </w:div>
    <w:div w:id="1613590928">
      <w:bodyDiv w:val="1"/>
      <w:marLeft w:val="0"/>
      <w:marRight w:val="0"/>
      <w:marTop w:val="0"/>
      <w:marBottom w:val="0"/>
      <w:divBdr>
        <w:top w:val="none" w:sz="0" w:space="0" w:color="auto"/>
        <w:left w:val="none" w:sz="0" w:space="0" w:color="auto"/>
        <w:bottom w:val="none" w:sz="0" w:space="0" w:color="auto"/>
        <w:right w:val="none" w:sz="0" w:space="0" w:color="auto"/>
      </w:divBdr>
    </w:div>
    <w:div w:id="1642465453">
      <w:bodyDiv w:val="1"/>
      <w:marLeft w:val="0"/>
      <w:marRight w:val="0"/>
      <w:marTop w:val="0"/>
      <w:marBottom w:val="0"/>
      <w:divBdr>
        <w:top w:val="none" w:sz="0" w:space="0" w:color="auto"/>
        <w:left w:val="none" w:sz="0" w:space="0" w:color="auto"/>
        <w:bottom w:val="none" w:sz="0" w:space="0" w:color="auto"/>
        <w:right w:val="none" w:sz="0" w:space="0" w:color="auto"/>
      </w:divBdr>
    </w:div>
    <w:div w:id="1654404021">
      <w:bodyDiv w:val="1"/>
      <w:marLeft w:val="0"/>
      <w:marRight w:val="0"/>
      <w:marTop w:val="0"/>
      <w:marBottom w:val="0"/>
      <w:divBdr>
        <w:top w:val="none" w:sz="0" w:space="0" w:color="auto"/>
        <w:left w:val="none" w:sz="0" w:space="0" w:color="auto"/>
        <w:bottom w:val="none" w:sz="0" w:space="0" w:color="auto"/>
        <w:right w:val="none" w:sz="0" w:space="0" w:color="auto"/>
      </w:divBdr>
    </w:div>
    <w:div w:id="1655572970">
      <w:bodyDiv w:val="1"/>
      <w:marLeft w:val="0"/>
      <w:marRight w:val="0"/>
      <w:marTop w:val="0"/>
      <w:marBottom w:val="0"/>
      <w:divBdr>
        <w:top w:val="none" w:sz="0" w:space="0" w:color="auto"/>
        <w:left w:val="none" w:sz="0" w:space="0" w:color="auto"/>
        <w:bottom w:val="none" w:sz="0" w:space="0" w:color="auto"/>
        <w:right w:val="none" w:sz="0" w:space="0" w:color="auto"/>
      </w:divBdr>
    </w:div>
    <w:div w:id="1675375354">
      <w:bodyDiv w:val="1"/>
      <w:marLeft w:val="0"/>
      <w:marRight w:val="0"/>
      <w:marTop w:val="0"/>
      <w:marBottom w:val="0"/>
      <w:divBdr>
        <w:top w:val="none" w:sz="0" w:space="0" w:color="auto"/>
        <w:left w:val="none" w:sz="0" w:space="0" w:color="auto"/>
        <w:bottom w:val="none" w:sz="0" w:space="0" w:color="auto"/>
        <w:right w:val="none" w:sz="0" w:space="0" w:color="auto"/>
      </w:divBdr>
    </w:div>
    <w:div w:id="1813255103">
      <w:bodyDiv w:val="1"/>
      <w:marLeft w:val="0"/>
      <w:marRight w:val="0"/>
      <w:marTop w:val="0"/>
      <w:marBottom w:val="0"/>
      <w:divBdr>
        <w:top w:val="none" w:sz="0" w:space="0" w:color="auto"/>
        <w:left w:val="none" w:sz="0" w:space="0" w:color="auto"/>
        <w:bottom w:val="none" w:sz="0" w:space="0" w:color="auto"/>
        <w:right w:val="none" w:sz="0" w:space="0" w:color="auto"/>
      </w:divBdr>
    </w:div>
    <w:div w:id="1845241332">
      <w:bodyDiv w:val="1"/>
      <w:marLeft w:val="0"/>
      <w:marRight w:val="0"/>
      <w:marTop w:val="0"/>
      <w:marBottom w:val="0"/>
      <w:divBdr>
        <w:top w:val="none" w:sz="0" w:space="0" w:color="auto"/>
        <w:left w:val="none" w:sz="0" w:space="0" w:color="auto"/>
        <w:bottom w:val="none" w:sz="0" w:space="0" w:color="auto"/>
        <w:right w:val="none" w:sz="0" w:space="0" w:color="auto"/>
      </w:divBdr>
    </w:div>
    <w:div w:id="1947617601">
      <w:bodyDiv w:val="1"/>
      <w:marLeft w:val="0"/>
      <w:marRight w:val="0"/>
      <w:marTop w:val="0"/>
      <w:marBottom w:val="0"/>
      <w:divBdr>
        <w:top w:val="none" w:sz="0" w:space="0" w:color="auto"/>
        <w:left w:val="none" w:sz="0" w:space="0" w:color="auto"/>
        <w:bottom w:val="none" w:sz="0" w:space="0" w:color="auto"/>
        <w:right w:val="none" w:sz="0" w:space="0" w:color="auto"/>
      </w:divBdr>
    </w:div>
    <w:div w:id="2100517167">
      <w:bodyDiv w:val="1"/>
      <w:marLeft w:val="0"/>
      <w:marRight w:val="0"/>
      <w:marTop w:val="0"/>
      <w:marBottom w:val="0"/>
      <w:divBdr>
        <w:top w:val="none" w:sz="0" w:space="0" w:color="auto"/>
        <w:left w:val="none" w:sz="0" w:space="0" w:color="auto"/>
        <w:bottom w:val="none" w:sz="0" w:space="0" w:color="auto"/>
        <w:right w:val="none" w:sz="0" w:space="0" w:color="auto"/>
      </w:divBdr>
    </w:div>
    <w:div w:id="2124227386">
      <w:bodyDiv w:val="1"/>
      <w:marLeft w:val="0"/>
      <w:marRight w:val="0"/>
      <w:marTop w:val="0"/>
      <w:marBottom w:val="0"/>
      <w:divBdr>
        <w:top w:val="none" w:sz="0" w:space="0" w:color="auto"/>
        <w:left w:val="none" w:sz="0" w:space="0" w:color="auto"/>
        <w:bottom w:val="none" w:sz="0" w:space="0" w:color="auto"/>
        <w:right w:val="none" w:sz="0" w:space="0" w:color="auto"/>
      </w:divBdr>
    </w:div>
    <w:div w:id="214638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LA3067\Documents\Dateien%20Steffen%20Erdle\RE-Activate\Berichte\24-29-fortschrittsbericht-alleinstehende-tz-massnahme-de.dot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44B89-46DF-48A6-8F17-C95762C3A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24-29-fortschrittsbericht-alleinstehende-tz-massnahme-de</Template>
  <TotalTime>0</TotalTime>
  <Pages>1</Pages>
  <Words>9883</Words>
  <Characters>62263</Characters>
  <Application>Microsoft Office Word</Application>
  <DocSecurity>0</DocSecurity>
  <Lines>518</Lines>
  <Paragraphs>144</Paragraphs>
  <ScaleCrop>false</ScaleCrop>
  <HeadingPairs>
    <vt:vector size="2" baseType="variant">
      <vt:variant>
        <vt:lpstr>Titel</vt:lpstr>
      </vt:variant>
      <vt:variant>
        <vt:i4>1</vt:i4>
      </vt:variant>
    </vt:vector>
  </HeadingPairs>
  <TitlesOfParts>
    <vt:vector size="1" baseType="lpstr">
      <vt:lpstr>Form 24-29-de, Fortschrittsbericht zu einer alleinstehenden TZ-Maßnahme, Stand  Juli 2014</vt:lpstr>
    </vt:vector>
  </TitlesOfParts>
  <Company>Deutsche Gesellschaft für Internationale Zusammenarbeit (GIZ) GmbH</Company>
  <LinksUpToDate>false</LinksUpToDate>
  <CharactersWithSpaces>72002</CharactersWithSpaces>
  <SharedDoc>false</SharedDoc>
  <HLinks>
    <vt:vector size="126" baseType="variant">
      <vt:variant>
        <vt:i4>1310774</vt:i4>
      </vt:variant>
      <vt:variant>
        <vt:i4>140</vt:i4>
      </vt:variant>
      <vt:variant>
        <vt:i4>0</vt:i4>
      </vt:variant>
      <vt:variant>
        <vt:i4>5</vt:i4>
      </vt:variant>
      <vt:variant>
        <vt:lpwstr/>
      </vt:variant>
      <vt:variant>
        <vt:lpwstr>_Toc233426522</vt:lpwstr>
      </vt:variant>
      <vt:variant>
        <vt:i4>1310774</vt:i4>
      </vt:variant>
      <vt:variant>
        <vt:i4>134</vt:i4>
      </vt:variant>
      <vt:variant>
        <vt:i4>0</vt:i4>
      </vt:variant>
      <vt:variant>
        <vt:i4>5</vt:i4>
      </vt:variant>
      <vt:variant>
        <vt:lpwstr/>
      </vt:variant>
      <vt:variant>
        <vt:lpwstr>_Toc233426521</vt:lpwstr>
      </vt:variant>
      <vt:variant>
        <vt:i4>1310774</vt:i4>
      </vt:variant>
      <vt:variant>
        <vt:i4>128</vt:i4>
      </vt:variant>
      <vt:variant>
        <vt:i4>0</vt:i4>
      </vt:variant>
      <vt:variant>
        <vt:i4>5</vt:i4>
      </vt:variant>
      <vt:variant>
        <vt:lpwstr/>
      </vt:variant>
      <vt:variant>
        <vt:lpwstr>_Toc233426520</vt:lpwstr>
      </vt:variant>
      <vt:variant>
        <vt:i4>1507382</vt:i4>
      </vt:variant>
      <vt:variant>
        <vt:i4>122</vt:i4>
      </vt:variant>
      <vt:variant>
        <vt:i4>0</vt:i4>
      </vt:variant>
      <vt:variant>
        <vt:i4>5</vt:i4>
      </vt:variant>
      <vt:variant>
        <vt:lpwstr/>
      </vt:variant>
      <vt:variant>
        <vt:lpwstr>_Toc233426519</vt:lpwstr>
      </vt:variant>
      <vt:variant>
        <vt:i4>1507382</vt:i4>
      </vt:variant>
      <vt:variant>
        <vt:i4>116</vt:i4>
      </vt:variant>
      <vt:variant>
        <vt:i4>0</vt:i4>
      </vt:variant>
      <vt:variant>
        <vt:i4>5</vt:i4>
      </vt:variant>
      <vt:variant>
        <vt:lpwstr/>
      </vt:variant>
      <vt:variant>
        <vt:lpwstr>_Toc233426518</vt:lpwstr>
      </vt:variant>
      <vt:variant>
        <vt:i4>1507382</vt:i4>
      </vt:variant>
      <vt:variant>
        <vt:i4>110</vt:i4>
      </vt:variant>
      <vt:variant>
        <vt:i4>0</vt:i4>
      </vt:variant>
      <vt:variant>
        <vt:i4>5</vt:i4>
      </vt:variant>
      <vt:variant>
        <vt:lpwstr/>
      </vt:variant>
      <vt:variant>
        <vt:lpwstr>_Toc233426517</vt:lpwstr>
      </vt:variant>
      <vt:variant>
        <vt:i4>1507382</vt:i4>
      </vt:variant>
      <vt:variant>
        <vt:i4>104</vt:i4>
      </vt:variant>
      <vt:variant>
        <vt:i4>0</vt:i4>
      </vt:variant>
      <vt:variant>
        <vt:i4>5</vt:i4>
      </vt:variant>
      <vt:variant>
        <vt:lpwstr/>
      </vt:variant>
      <vt:variant>
        <vt:lpwstr>_Toc233426516</vt:lpwstr>
      </vt:variant>
      <vt:variant>
        <vt:i4>1507382</vt:i4>
      </vt:variant>
      <vt:variant>
        <vt:i4>98</vt:i4>
      </vt:variant>
      <vt:variant>
        <vt:i4>0</vt:i4>
      </vt:variant>
      <vt:variant>
        <vt:i4>5</vt:i4>
      </vt:variant>
      <vt:variant>
        <vt:lpwstr/>
      </vt:variant>
      <vt:variant>
        <vt:lpwstr>_Toc233426515</vt:lpwstr>
      </vt:variant>
      <vt:variant>
        <vt:i4>1507382</vt:i4>
      </vt:variant>
      <vt:variant>
        <vt:i4>92</vt:i4>
      </vt:variant>
      <vt:variant>
        <vt:i4>0</vt:i4>
      </vt:variant>
      <vt:variant>
        <vt:i4>5</vt:i4>
      </vt:variant>
      <vt:variant>
        <vt:lpwstr/>
      </vt:variant>
      <vt:variant>
        <vt:lpwstr>_Toc233426514</vt:lpwstr>
      </vt:variant>
      <vt:variant>
        <vt:i4>1507382</vt:i4>
      </vt:variant>
      <vt:variant>
        <vt:i4>86</vt:i4>
      </vt:variant>
      <vt:variant>
        <vt:i4>0</vt:i4>
      </vt:variant>
      <vt:variant>
        <vt:i4>5</vt:i4>
      </vt:variant>
      <vt:variant>
        <vt:lpwstr/>
      </vt:variant>
      <vt:variant>
        <vt:lpwstr>_Toc233426513</vt:lpwstr>
      </vt:variant>
      <vt:variant>
        <vt:i4>1507382</vt:i4>
      </vt:variant>
      <vt:variant>
        <vt:i4>80</vt:i4>
      </vt:variant>
      <vt:variant>
        <vt:i4>0</vt:i4>
      </vt:variant>
      <vt:variant>
        <vt:i4>5</vt:i4>
      </vt:variant>
      <vt:variant>
        <vt:lpwstr/>
      </vt:variant>
      <vt:variant>
        <vt:lpwstr>_Toc233426512</vt:lpwstr>
      </vt:variant>
      <vt:variant>
        <vt:i4>1507382</vt:i4>
      </vt:variant>
      <vt:variant>
        <vt:i4>74</vt:i4>
      </vt:variant>
      <vt:variant>
        <vt:i4>0</vt:i4>
      </vt:variant>
      <vt:variant>
        <vt:i4>5</vt:i4>
      </vt:variant>
      <vt:variant>
        <vt:lpwstr/>
      </vt:variant>
      <vt:variant>
        <vt:lpwstr>_Toc233426511</vt:lpwstr>
      </vt:variant>
      <vt:variant>
        <vt:i4>1507382</vt:i4>
      </vt:variant>
      <vt:variant>
        <vt:i4>68</vt:i4>
      </vt:variant>
      <vt:variant>
        <vt:i4>0</vt:i4>
      </vt:variant>
      <vt:variant>
        <vt:i4>5</vt:i4>
      </vt:variant>
      <vt:variant>
        <vt:lpwstr/>
      </vt:variant>
      <vt:variant>
        <vt:lpwstr>_Toc233426510</vt:lpwstr>
      </vt:variant>
      <vt:variant>
        <vt:i4>1441846</vt:i4>
      </vt:variant>
      <vt:variant>
        <vt:i4>62</vt:i4>
      </vt:variant>
      <vt:variant>
        <vt:i4>0</vt:i4>
      </vt:variant>
      <vt:variant>
        <vt:i4>5</vt:i4>
      </vt:variant>
      <vt:variant>
        <vt:lpwstr/>
      </vt:variant>
      <vt:variant>
        <vt:lpwstr>_Toc233426509</vt:lpwstr>
      </vt:variant>
      <vt:variant>
        <vt:i4>1441846</vt:i4>
      </vt:variant>
      <vt:variant>
        <vt:i4>56</vt:i4>
      </vt:variant>
      <vt:variant>
        <vt:i4>0</vt:i4>
      </vt:variant>
      <vt:variant>
        <vt:i4>5</vt:i4>
      </vt:variant>
      <vt:variant>
        <vt:lpwstr/>
      </vt:variant>
      <vt:variant>
        <vt:lpwstr>_Toc233426508</vt:lpwstr>
      </vt:variant>
      <vt:variant>
        <vt:i4>1441846</vt:i4>
      </vt:variant>
      <vt:variant>
        <vt:i4>50</vt:i4>
      </vt:variant>
      <vt:variant>
        <vt:i4>0</vt:i4>
      </vt:variant>
      <vt:variant>
        <vt:i4>5</vt:i4>
      </vt:variant>
      <vt:variant>
        <vt:lpwstr/>
      </vt:variant>
      <vt:variant>
        <vt:lpwstr>_Toc233426507</vt:lpwstr>
      </vt:variant>
      <vt:variant>
        <vt:i4>1441846</vt:i4>
      </vt:variant>
      <vt:variant>
        <vt:i4>44</vt:i4>
      </vt:variant>
      <vt:variant>
        <vt:i4>0</vt:i4>
      </vt:variant>
      <vt:variant>
        <vt:i4>5</vt:i4>
      </vt:variant>
      <vt:variant>
        <vt:lpwstr/>
      </vt:variant>
      <vt:variant>
        <vt:lpwstr>_Toc233426506</vt:lpwstr>
      </vt:variant>
      <vt:variant>
        <vt:i4>1441846</vt:i4>
      </vt:variant>
      <vt:variant>
        <vt:i4>38</vt:i4>
      </vt:variant>
      <vt:variant>
        <vt:i4>0</vt:i4>
      </vt:variant>
      <vt:variant>
        <vt:i4>5</vt:i4>
      </vt:variant>
      <vt:variant>
        <vt:lpwstr/>
      </vt:variant>
      <vt:variant>
        <vt:lpwstr>_Toc233426505</vt:lpwstr>
      </vt:variant>
      <vt:variant>
        <vt:i4>1441846</vt:i4>
      </vt:variant>
      <vt:variant>
        <vt:i4>32</vt:i4>
      </vt:variant>
      <vt:variant>
        <vt:i4>0</vt:i4>
      </vt:variant>
      <vt:variant>
        <vt:i4>5</vt:i4>
      </vt:variant>
      <vt:variant>
        <vt:lpwstr/>
      </vt:variant>
      <vt:variant>
        <vt:lpwstr>_Toc233426504</vt:lpwstr>
      </vt:variant>
      <vt:variant>
        <vt:i4>1441846</vt:i4>
      </vt:variant>
      <vt:variant>
        <vt:i4>26</vt:i4>
      </vt:variant>
      <vt:variant>
        <vt:i4>0</vt:i4>
      </vt:variant>
      <vt:variant>
        <vt:i4>5</vt:i4>
      </vt:variant>
      <vt:variant>
        <vt:lpwstr/>
      </vt:variant>
      <vt:variant>
        <vt:lpwstr>_Toc233426503</vt:lpwstr>
      </vt:variant>
      <vt:variant>
        <vt:i4>1441846</vt:i4>
      </vt:variant>
      <vt:variant>
        <vt:i4>20</vt:i4>
      </vt:variant>
      <vt:variant>
        <vt:i4>0</vt:i4>
      </vt:variant>
      <vt:variant>
        <vt:i4>5</vt:i4>
      </vt:variant>
      <vt:variant>
        <vt:lpwstr/>
      </vt:variant>
      <vt:variant>
        <vt:lpwstr>_Toc233426502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24-29-de, Fortschrittsbericht zu einer alleinstehenden TZ-Maßnahme, Stand  Juli 2014</dc:title>
  <dc:subject/>
  <dc:creator>UserLA3067</dc:creator>
  <cp:keywords>fortschrittsbericht tz-einzelmaßnahme</cp:keywords>
  <dc:description/>
  <cp:lastModifiedBy>UserLA3067</cp:lastModifiedBy>
  <cp:revision>2</cp:revision>
  <cp:lastPrinted>2012-03-12T13:50:00Z</cp:lastPrinted>
  <dcterms:created xsi:type="dcterms:W3CDTF">2015-06-17T22:27:00Z</dcterms:created>
  <dcterms:modified xsi:type="dcterms:W3CDTF">2015-06-25T09:50:00Z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0x010100FA98529EE743D04A8C3D54BEB25F8048</vt:lpwstr>
  </property>
</Properties>
</file>